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10" w14:textId="395FA8B7" w:rsidR="005901A6" w:rsidRDefault="005776F5" w:rsidP="009710C2">
      <w:pPr>
        <w:pStyle w:val="Heading2"/>
        <w:numPr>
          <w:ilvl w:val="0"/>
          <w:numId w:val="1"/>
        </w:numPr>
        <w:shd w:val="clear" w:color="auto" w:fill="FFFFFF"/>
        <w:spacing w:after="240"/>
        <w:jc w:val="both"/>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Executive summary </w:t>
      </w:r>
    </w:p>
    <w:p w14:paraId="00000011" w14:textId="0D1FBDA9" w:rsidR="005901A6" w:rsidRPr="00D82ED8" w:rsidRDefault="00D82ED8" w:rsidP="00B154BB">
      <w:pPr>
        <w:jc w:val="both"/>
        <w:rPr>
          <w:rFonts w:ascii="Times New Roman" w:eastAsia="Times New Roman" w:hAnsi="Times New Roman" w:cs="Times New Roman"/>
          <w:color w:val="222222"/>
          <w:sz w:val="28"/>
          <w:szCs w:val="28"/>
          <w:highlight w:val="white"/>
        </w:rPr>
      </w:pPr>
      <w:r w:rsidRPr="00D82ED8">
        <w:rPr>
          <w:rFonts w:ascii="Times New Roman" w:eastAsia="Times New Roman" w:hAnsi="Times New Roman" w:cs="Times New Roman"/>
          <w:color w:val="222222"/>
          <w:sz w:val="28"/>
          <w:szCs w:val="28"/>
          <w:highlight w:val="white"/>
        </w:rPr>
        <w:t>This re</w:t>
      </w:r>
      <w:r>
        <w:rPr>
          <w:rFonts w:ascii="Times New Roman" w:eastAsia="Times New Roman" w:hAnsi="Times New Roman" w:cs="Times New Roman"/>
          <w:color w:val="222222"/>
          <w:sz w:val="28"/>
          <w:szCs w:val="28"/>
          <w:highlight w:val="white"/>
        </w:rPr>
        <w:t xml:space="preserve">search paper will </w:t>
      </w:r>
      <w:r w:rsidR="00B154BB">
        <w:rPr>
          <w:rFonts w:ascii="Times New Roman" w:eastAsia="Times New Roman" w:hAnsi="Times New Roman" w:cs="Times New Roman"/>
          <w:color w:val="222222"/>
          <w:sz w:val="28"/>
          <w:szCs w:val="28"/>
          <w:highlight w:val="white"/>
        </w:rPr>
        <w:t>analyze the 2019 Sustainability Report of the Hilton Hotel based on the GRI guideline and judge its credibility. The sustainability report covers most criteria of the GRI</w:t>
      </w:r>
      <w:r w:rsidR="00F75016">
        <w:rPr>
          <w:rFonts w:ascii="Times New Roman" w:eastAsia="Times New Roman" w:hAnsi="Times New Roman" w:cs="Times New Roman"/>
          <w:color w:val="222222"/>
          <w:sz w:val="28"/>
          <w:szCs w:val="28"/>
          <w:highlight w:val="white"/>
        </w:rPr>
        <w:t>,</w:t>
      </w:r>
      <w:r w:rsidR="00B154BB">
        <w:rPr>
          <w:rFonts w:ascii="Times New Roman" w:eastAsia="Times New Roman" w:hAnsi="Times New Roman" w:cs="Times New Roman"/>
          <w:color w:val="222222"/>
          <w:sz w:val="28"/>
          <w:szCs w:val="28"/>
          <w:highlight w:val="white"/>
        </w:rPr>
        <w:t xml:space="preserve"> both environmental and social</w:t>
      </w:r>
      <w:r w:rsidR="00F75016">
        <w:rPr>
          <w:rFonts w:ascii="Times New Roman" w:eastAsia="Times New Roman" w:hAnsi="Times New Roman" w:cs="Times New Roman"/>
          <w:color w:val="222222"/>
          <w:sz w:val="28"/>
          <w:szCs w:val="28"/>
          <w:highlight w:val="white"/>
        </w:rPr>
        <w:t xml:space="preserve"> aspects. </w:t>
      </w:r>
      <w:r w:rsidR="003F5A0D">
        <w:rPr>
          <w:rFonts w:ascii="Times New Roman" w:eastAsia="Times New Roman" w:hAnsi="Times New Roman" w:cs="Times New Roman"/>
          <w:color w:val="222222"/>
          <w:sz w:val="28"/>
          <w:szCs w:val="28"/>
          <w:highlight w:val="white"/>
        </w:rPr>
        <w:t>However, t</w:t>
      </w:r>
      <w:r w:rsidR="00F75016">
        <w:rPr>
          <w:rFonts w:ascii="Times New Roman" w:eastAsia="Times New Roman" w:hAnsi="Times New Roman" w:cs="Times New Roman"/>
          <w:color w:val="222222"/>
          <w:sz w:val="28"/>
          <w:szCs w:val="28"/>
          <w:highlight w:val="white"/>
        </w:rPr>
        <w:t>here are some sustainable areas missing</w:t>
      </w:r>
      <w:r w:rsidR="00B154BB">
        <w:rPr>
          <w:rFonts w:ascii="Times New Roman" w:eastAsia="Times New Roman" w:hAnsi="Times New Roman" w:cs="Times New Roman"/>
          <w:color w:val="222222"/>
          <w:sz w:val="28"/>
          <w:szCs w:val="28"/>
          <w:highlight w:val="white"/>
        </w:rPr>
        <w:t>,</w:t>
      </w:r>
      <w:r w:rsidR="001C6A7D">
        <w:rPr>
          <w:rFonts w:ascii="Times New Roman" w:eastAsia="Times New Roman" w:hAnsi="Times New Roman" w:cs="Times New Roman"/>
          <w:color w:val="222222"/>
          <w:sz w:val="28"/>
          <w:szCs w:val="28"/>
          <w:highlight w:val="white"/>
        </w:rPr>
        <w:t xml:space="preserve"> and the cause of this situation </w:t>
      </w:r>
      <w:r w:rsidR="003F5A0D">
        <w:rPr>
          <w:rFonts w:ascii="Times New Roman" w:eastAsia="Times New Roman" w:hAnsi="Times New Roman" w:cs="Times New Roman"/>
          <w:color w:val="222222"/>
          <w:sz w:val="28"/>
          <w:szCs w:val="28"/>
          <w:highlight w:val="white"/>
        </w:rPr>
        <w:t xml:space="preserve">can be </w:t>
      </w:r>
      <w:r w:rsidR="001C6A7D">
        <w:rPr>
          <w:rFonts w:ascii="Times New Roman" w:eastAsia="Times New Roman" w:hAnsi="Times New Roman" w:cs="Times New Roman"/>
          <w:color w:val="222222"/>
          <w:sz w:val="28"/>
          <w:szCs w:val="28"/>
          <w:highlight w:val="white"/>
        </w:rPr>
        <w:t>due to</w:t>
      </w:r>
      <w:r w:rsidR="00B154BB">
        <w:rPr>
          <w:rFonts w:ascii="Times New Roman" w:eastAsia="Times New Roman" w:hAnsi="Times New Roman" w:cs="Times New Roman"/>
          <w:color w:val="222222"/>
          <w:sz w:val="28"/>
          <w:szCs w:val="28"/>
          <w:highlight w:val="white"/>
        </w:rPr>
        <w:t xml:space="preserve"> the different understanding</w:t>
      </w:r>
      <w:r w:rsidR="003F5A0D">
        <w:rPr>
          <w:rFonts w:ascii="Times New Roman" w:eastAsia="Times New Roman" w:hAnsi="Times New Roman" w:cs="Times New Roman"/>
          <w:color w:val="222222"/>
          <w:sz w:val="28"/>
          <w:szCs w:val="28"/>
          <w:highlight w:val="white"/>
        </w:rPr>
        <w:t xml:space="preserve"> or priority</w:t>
      </w:r>
      <w:r w:rsidR="00B154BB">
        <w:rPr>
          <w:rFonts w:ascii="Times New Roman" w:eastAsia="Times New Roman" w:hAnsi="Times New Roman" w:cs="Times New Roman"/>
          <w:color w:val="222222"/>
          <w:sz w:val="28"/>
          <w:szCs w:val="28"/>
          <w:highlight w:val="white"/>
        </w:rPr>
        <w:t xml:space="preserve"> of the stakeholders. Overall, the report is assessed to be credible because it is based on both Sustainable Development Goals and GRI and audited by a third party; however, there are still some improvements</w:t>
      </w:r>
      <w:r w:rsidR="00477254">
        <w:rPr>
          <w:rFonts w:ascii="Times New Roman" w:eastAsia="Times New Roman" w:hAnsi="Times New Roman" w:cs="Times New Roman"/>
          <w:color w:val="222222"/>
          <w:sz w:val="28"/>
          <w:szCs w:val="28"/>
          <w:highlight w:val="white"/>
        </w:rPr>
        <w:t xml:space="preserve"> to b</w:t>
      </w:r>
      <w:r w:rsidR="00B154BB">
        <w:rPr>
          <w:rFonts w:ascii="Times New Roman" w:eastAsia="Times New Roman" w:hAnsi="Times New Roman" w:cs="Times New Roman"/>
          <w:color w:val="222222"/>
          <w:sz w:val="28"/>
          <w:szCs w:val="28"/>
          <w:highlight w:val="white"/>
        </w:rPr>
        <w:t xml:space="preserve">e made for the missing areas like </w:t>
      </w:r>
      <w:r w:rsidR="00B154BB">
        <w:rPr>
          <w:rFonts w:ascii="Times New Roman" w:eastAsia="Times New Roman" w:hAnsi="Times New Roman" w:cs="Times New Roman"/>
          <w:sz w:val="28"/>
          <w:szCs w:val="28"/>
        </w:rPr>
        <w:t>rights of indigenous people, supplier social assessment, public policy, customer</w:t>
      </w:r>
      <w:r w:rsidR="00F75016">
        <w:rPr>
          <w:rFonts w:ascii="Times New Roman" w:eastAsia="Times New Roman" w:hAnsi="Times New Roman" w:cs="Times New Roman"/>
          <w:sz w:val="28"/>
          <w:szCs w:val="28"/>
        </w:rPr>
        <w:t>’s</w:t>
      </w:r>
      <w:r w:rsidR="00B154BB">
        <w:rPr>
          <w:rFonts w:ascii="Times New Roman" w:eastAsia="Times New Roman" w:hAnsi="Times New Roman" w:cs="Times New Roman"/>
          <w:sz w:val="28"/>
          <w:szCs w:val="28"/>
        </w:rPr>
        <w:t xml:space="preserve"> health and safety, marketing and labeling and socioeconomic compliance.</w:t>
      </w:r>
    </w:p>
    <w:p w14:paraId="00000012" w14:textId="14D12F7E" w:rsidR="005901A6" w:rsidRDefault="005776F5" w:rsidP="009710C2">
      <w:pPr>
        <w:pStyle w:val="Heading2"/>
        <w:numPr>
          <w:ilvl w:val="0"/>
          <w:numId w:val="1"/>
        </w:numPr>
        <w:jc w:val="both"/>
        <w:rPr>
          <w:rFonts w:ascii="Times New Roman" w:eastAsia="Times New Roman" w:hAnsi="Times New Roman" w:cs="Times New Roman"/>
          <w:b/>
        </w:rPr>
      </w:pPr>
      <w:bookmarkStart w:id="1" w:name="_1k94eba9sh9r" w:colFirst="0" w:colLast="0"/>
      <w:bookmarkEnd w:id="1"/>
      <w:r>
        <w:rPr>
          <w:rFonts w:ascii="Times New Roman" w:eastAsia="Times New Roman" w:hAnsi="Times New Roman" w:cs="Times New Roman"/>
          <w:b/>
        </w:rPr>
        <w:t>Introduction</w:t>
      </w:r>
    </w:p>
    <w:p w14:paraId="00000014" w14:textId="77777777" w:rsidR="005901A6" w:rsidRDefault="005901A6" w:rsidP="00B154BB">
      <w:pPr>
        <w:jc w:val="both"/>
        <w:rPr>
          <w:rFonts w:ascii="Times New Roman" w:eastAsia="Times New Roman" w:hAnsi="Times New Roman" w:cs="Times New Roman"/>
          <w:color w:val="222222"/>
          <w:sz w:val="28"/>
          <w:szCs w:val="28"/>
          <w:highlight w:val="white"/>
        </w:rPr>
      </w:pPr>
    </w:p>
    <w:p w14:paraId="00000015" w14:textId="100F3DB4" w:rsidR="005901A6" w:rsidRDefault="005776F5" w:rsidP="00B154BB">
      <w:pPr>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Sustainability is quickly becoming a trendy term in all industries, and yet its meaning is still sometimes misunderstood. Some audiences just limit its meaning to improving environmental problems, while others associate it with corporate social responsibility (</w:t>
      </w:r>
      <w:proofErr w:type="spellStart"/>
      <w:r>
        <w:rPr>
          <w:rFonts w:ascii="Times New Roman" w:eastAsia="Times New Roman" w:hAnsi="Times New Roman" w:cs="Times New Roman"/>
          <w:color w:val="222222"/>
          <w:sz w:val="28"/>
          <w:szCs w:val="28"/>
          <w:highlight w:val="white"/>
        </w:rPr>
        <w:t>Bansal</w:t>
      </w:r>
      <w:proofErr w:type="spellEnd"/>
      <w:r>
        <w:rPr>
          <w:rFonts w:ascii="Times New Roman" w:eastAsia="Times New Roman" w:hAnsi="Times New Roman" w:cs="Times New Roman"/>
          <w:color w:val="222222"/>
          <w:sz w:val="28"/>
          <w:szCs w:val="28"/>
          <w:highlight w:val="white"/>
        </w:rPr>
        <w:t xml:space="preserve"> and </w:t>
      </w:r>
      <w:proofErr w:type="spellStart"/>
      <w:r>
        <w:rPr>
          <w:rFonts w:ascii="Times New Roman" w:eastAsia="Times New Roman" w:hAnsi="Times New Roman" w:cs="Times New Roman"/>
          <w:color w:val="222222"/>
          <w:sz w:val="28"/>
          <w:szCs w:val="28"/>
          <w:highlight w:val="white"/>
        </w:rPr>
        <w:t>DesJardine</w:t>
      </w:r>
      <w:proofErr w:type="spellEnd"/>
      <w:r>
        <w:rPr>
          <w:rFonts w:ascii="Times New Roman" w:eastAsia="Times New Roman" w:hAnsi="Times New Roman" w:cs="Times New Roman"/>
          <w:color w:val="222222"/>
          <w:sz w:val="28"/>
          <w:szCs w:val="28"/>
          <w:highlight w:val="white"/>
        </w:rPr>
        <w:t>, 2014). The Brundtland Report (Brundtland, 1987) is one of the first firms that really defines the “sustainability” term as “development that meets the needs of the present without compromising the ability of future generations to meet their own needs”. Later researches also claim that sustainable development requires a</w:t>
      </w:r>
      <w:r w:rsidR="003E2328">
        <w:rPr>
          <w:rFonts w:ascii="Times New Roman" w:eastAsia="Times New Roman" w:hAnsi="Times New Roman" w:cs="Times New Roman"/>
          <w:color w:val="222222"/>
          <w:sz w:val="28"/>
          <w:szCs w:val="28"/>
          <w:highlight w:val="white"/>
        </w:rPr>
        <w:t xml:space="preserve"> long-term</w:t>
      </w:r>
      <w:r>
        <w:rPr>
          <w:rFonts w:ascii="Times New Roman" w:eastAsia="Times New Roman" w:hAnsi="Times New Roman" w:cs="Times New Roman"/>
          <w:color w:val="222222"/>
          <w:sz w:val="28"/>
          <w:szCs w:val="28"/>
          <w:highlight w:val="white"/>
        </w:rPr>
        <w:t xml:space="preserve"> plan and firms to take actions protecting intergenerational equity (</w:t>
      </w:r>
      <w:proofErr w:type="spellStart"/>
      <w:r>
        <w:rPr>
          <w:rFonts w:ascii="Times New Roman" w:eastAsia="Times New Roman" w:hAnsi="Times New Roman" w:cs="Times New Roman"/>
          <w:color w:val="222222"/>
          <w:sz w:val="28"/>
          <w:szCs w:val="28"/>
          <w:highlight w:val="white"/>
        </w:rPr>
        <w:t>Bansal</w:t>
      </w:r>
      <w:proofErr w:type="spellEnd"/>
      <w:r>
        <w:rPr>
          <w:rFonts w:ascii="Times New Roman" w:eastAsia="Times New Roman" w:hAnsi="Times New Roman" w:cs="Times New Roman"/>
          <w:color w:val="222222"/>
          <w:sz w:val="28"/>
          <w:szCs w:val="28"/>
          <w:highlight w:val="white"/>
        </w:rPr>
        <w:t xml:space="preserve"> and </w:t>
      </w:r>
      <w:proofErr w:type="spellStart"/>
      <w:r>
        <w:rPr>
          <w:rFonts w:ascii="Times New Roman" w:eastAsia="Times New Roman" w:hAnsi="Times New Roman" w:cs="Times New Roman"/>
          <w:color w:val="222222"/>
          <w:sz w:val="28"/>
          <w:szCs w:val="28"/>
          <w:highlight w:val="white"/>
        </w:rPr>
        <w:t>DesJardine</w:t>
      </w:r>
      <w:proofErr w:type="spellEnd"/>
      <w:r>
        <w:rPr>
          <w:rFonts w:ascii="Times New Roman" w:eastAsia="Times New Roman" w:hAnsi="Times New Roman" w:cs="Times New Roman"/>
          <w:color w:val="222222"/>
          <w:sz w:val="28"/>
          <w:szCs w:val="28"/>
          <w:highlight w:val="white"/>
        </w:rPr>
        <w:t xml:space="preserve">, 2014). There is constantly a growing concern from consumers and the public about the impact of the tourism industry and information on hotel’s practices </w:t>
      </w:r>
      <w:r w:rsidR="00681441">
        <w:rPr>
          <w:rFonts w:ascii="Times New Roman" w:eastAsia="Times New Roman" w:hAnsi="Times New Roman" w:cs="Times New Roman"/>
          <w:color w:val="222222"/>
          <w:sz w:val="28"/>
          <w:szCs w:val="28"/>
          <w:highlight w:val="white"/>
        </w:rPr>
        <w:t xml:space="preserve">(de </w:t>
      </w:r>
      <w:proofErr w:type="spellStart"/>
      <w:r w:rsidR="00681441">
        <w:rPr>
          <w:rFonts w:ascii="Times New Roman" w:eastAsia="Times New Roman" w:hAnsi="Times New Roman" w:cs="Times New Roman"/>
          <w:color w:val="222222"/>
          <w:sz w:val="28"/>
          <w:szCs w:val="28"/>
          <w:highlight w:val="white"/>
        </w:rPr>
        <w:t>Grosbois</w:t>
      </w:r>
      <w:proofErr w:type="spellEnd"/>
      <w:r w:rsidR="00681441">
        <w:rPr>
          <w:rFonts w:ascii="Times New Roman" w:eastAsia="Times New Roman" w:hAnsi="Times New Roman" w:cs="Times New Roman"/>
          <w:color w:val="222222"/>
          <w:sz w:val="28"/>
          <w:szCs w:val="28"/>
          <w:highlight w:val="white"/>
        </w:rPr>
        <w:t>, 2012). In addition</w:t>
      </w:r>
      <w:r>
        <w:rPr>
          <w:rFonts w:ascii="Times New Roman" w:eastAsia="Times New Roman" w:hAnsi="Times New Roman" w:cs="Times New Roman"/>
          <w:color w:val="222222"/>
          <w:sz w:val="28"/>
          <w:szCs w:val="28"/>
          <w:highlight w:val="white"/>
        </w:rPr>
        <w:t>, there is an evident increase in sustainability report by not only hospitality enterprises</w:t>
      </w:r>
      <w:r w:rsidR="00681441">
        <w:rPr>
          <w:rFonts w:ascii="Times New Roman" w:eastAsia="Times New Roman" w:hAnsi="Times New Roman" w:cs="Times New Roman"/>
          <w:color w:val="222222"/>
          <w:sz w:val="28"/>
          <w:szCs w:val="28"/>
          <w:highlight w:val="white"/>
        </w:rPr>
        <w:t xml:space="preserve"> </w:t>
      </w:r>
      <w:r w:rsidR="00781D01">
        <w:rPr>
          <w:rFonts w:ascii="Times New Roman" w:eastAsia="Times New Roman" w:hAnsi="Times New Roman" w:cs="Times New Roman"/>
          <w:color w:val="222222"/>
          <w:sz w:val="28"/>
          <w:szCs w:val="28"/>
          <w:highlight w:val="white"/>
        </w:rPr>
        <w:t>(</w:t>
      </w:r>
      <w:proofErr w:type="spellStart"/>
      <w:r w:rsidR="00781D01">
        <w:rPr>
          <w:rFonts w:ascii="Times New Roman" w:eastAsia="Times New Roman" w:hAnsi="Times New Roman" w:cs="Times New Roman"/>
          <w:color w:val="222222"/>
          <w:sz w:val="28"/>
          <w:szCs w:val="28"/>
          <w:highlight w:val="white"/>
        </w:rPr>
        <w:t>Moneva</w:t>
      </w:r>
      <w:proofErr w:type="spellEnd"/>
      <w:r w:rsidR="00781D01">
        <w:rPr>
          <w:rFonts w:ascii="Times New Roman" w:eastAsia="Times New Roman" w:hAnsi="Times New Roman" w:cs="Times New Roman"/>
          <w:color w:val="222222"/>
          <w:sz w:val="28"/>
          <w:szCs w:val="28"/>
          <w:highlight w:val="white"/>
        </w:rPr>
        <w:t xml:space="preserve">, </w:t>
      </w:r>
      <w:proofErr w:type="spellStart"/>
      <w:r w:rsidR="00781D01">
        <w:rPr>
          <w:rFonts w:ascii="Times New Roman" w:eastAsia="Times New Roman" w:hAnsi="Times New Roman" w:cs="Times New Roman"/>
          <w:color w:val="222222"/>
          <w:sz w:val="28"/>
          <w:szCs w:val="28"/>
          <w:highlight w:val="white"/>
        </w:rPr>
        <w:t>Archel</w:t>
      </w:r>
      <w:proofErr w:type="spellEnd"/>
      <w:r w:rsidR="00781D01">
        <w:rPr>
          <w:rFonts w:ascii="Times New Roman" w:eastAsia="Times New Roman" w:hAnsi="Times New Roman" w:cs="Times New Roman"/>
          <w:color w:val="222222"/>
          <w:sz w:val="28"/>
          <w:szCs w:val="28"/>
          <w:highlight w:val="white"/>
        </w:rPr>
        <w:t xml:space="preserve"> and Correa, 2006; </w:t>
      </w:r>
      <w:proofErr w:type="spellStart"/>
      <w:r w:rsidR="00781D01">
        <w:rPr>
          <w:rFonts w:ascii="Times New Roman" w:eastAsia="Times New Roman" w:hAnsi="Times New Roman" w:cs="Times New Roman"/>
          <w:color w:val="222222"/>
          <w:sz w:val="28"/>
          <w:szCs w:val="28"/>
          <w:highlight w:val="white"/>
        </w:rPr>
        <w:t>Unerman</w:t>
      </w:r>
      <w:proofErr w:type="spellEnd"/>
      <w:r w:rsidR="00781D01">
        <w:rPr>
          <w:rFonts w:ascii="Times New Roman" w:eastAsia="Times New Roman" w:hAnsi="Times New Roman" w:cs="Times New Roman"/>
          <w:color w:val="222222"/>
          <w:sz w:val="28"/>
          <w:szCs w:val="28"/>
          <w:highlight w:val="white"/>
        </w:rPr>
        <w:t xml:space="preserve">, </w:t>
      </w:r>
      <w:proofErr w:type="spellStart"/>
      <w:r w:rsidR="00781D01">
        <w:rPr>
          <w:rFonts w:ascii="Times New Roman" w:eastAsia="Times New Roman" w:hAnsi="Times New Roman" w:cs="Times New Roman"/>
          <w:color w:val="222222"/>
          <w:sz w:val="28"/>
          <w:szCs w:val="28"/>
          <w:highlight w:val="white"/>
        </w:rPr>
        <w:t>Bebington</w:t>
      </w:r>
      <w:proofErr w:type="spellEnd"/>
      <w:r w:rsidR="00781D01">
        <w:rPr>
          <w:rFonts w:ascii="Times New Roman" w:eastAsia="Times New Roman" w:hAnsi="Times New Roman" w:cs="Times New Roman"/>
          <w:color w:val="222222"/>
          <w:sz w:val="28"/>
          <w:szCs w:val="28"/>
          <w:highlight w:val="white"/>
        </w:rPr>
        <w:t xml:space="preserve"> and </w:t>
      </w:r>
      <w:proofErr w:type="spellStart"/>
      <w:r w:rsidR="00781D01">
        <w:rPr>
          <w:rFonts w:ascii="Times New Roman" w:eastAsia="Times New Roman" w:hAnsi="Times New Roman" w:cs="Times New Roman"/>
          <w:color w:val="222222"/>
          <w:sz w:val="28"/>
          <w:szCs w:val="28"/>
          <w:highlight w:val="white"/>
        </w:rPr>
        <w:t>O’Dwyer</w:t>
      </w:r>
      <w:proofErr w:type="spellEnd"/>
      <w:r w:rsidR="00781D01">
        <w:rPr>
          <w:rFonts w:ascii="Times New Roman" w:eastAsia="Times New Roman" w:hAnsi="Times New Roman" w:cs="Times New Roman"/>
          <w:color w:val="222222"/>
          <w:sz w:val="28"/>
          <w:szCs w:val="28"/>
          <w:highlight w:val="white"/>
        </w:rPr>
        <w:t xml:space="preserve">, 2007). Later researches also confirm this trend not only in the hospitality industry but also in other fields (Carrot and Sticks, 2013; </w:t>
      </w:r>
      <w:proofErr w:type="spellStart"/>
      <w:r w:rsidR="00781D01">
        <w:rPr>
          <w:rFonts w:ascii="Times New Roman" w:eastAsia="Times New Roman" w:hAnsi="Times New Roman" w:cs="Times New Roman"/>
          <w:color w:val="222222"/>
          <w:sz w:val="28"/>
          <w:szCs w:val="28"/>
          <w:highlight w:val="white"/>
        </w:rPr>
        <w:t>Medrado</w:t>
      </w:r>
      <w:proofErr w:type="spellEnd"/>
      <w:r w:rsidR="00781D01">
        <w:rPr>
          <w:rFonts w:ascii="Times New Roman" w:eastAsia="Times New Roman" w:hAnsi="Times New Roman" w:cs="Times New Roman"/>
          <w:color w:val="222222"/>
          <w:sz w:val="28"/>
          <w:szCs w:val="28"/>
          <w:highlight w:val="white"/>
        </w:rPr>
        <w:t xml:space="preserve"> and Jackson, 2016). </w:t>
      </w:r>
      <w:r>
        <w:rPr>
          <w:rFonts w:ascii="Times New Roman" w:eastAsia="Times New Roman" w:hAnsi="Times New Roman" w:cs="Times New Roman"/>
          <w:color w:val="222222"/>
          <w:sz w:val="28"/>
          <w:szCs w:val="28"/>
          <w:highlight w:val="white"/>
        </w:rPr>
        <w:t xml:space="preserve">The recent study showed that the requirement for sustainability reports in corporate has doubled from 2013 to 2016 (KPMG, 2016). In general, the sustainability report aims to provide the public and stakeholders of the company’s sustainable </w:t>
      </w:r>
      <w:r>
        <w:rPr>
          <w:rFonts w:ascii="Times New Roman" w:eastAsia="Times New Roman" w:hAnsi="Times New Roman" w:cs="Times New Roman"/>
          <w:color w:val="222222"/>
          <w:sz w:val="28"/>
          <w:szCs w:val="28"/>
          <w:highlight w:val="white"/>
        </w:rPr>
        <w:lastRenderedPageBreak/>
        <w:t xml:space="preserve">practices and results in depth. This research paper will critically </w:t>
      </w:r>
      <w:proofErr w:type="spellStart"/>
      <w:r>
        <w:rPr>
          <w:rFonts w:ascii="Times New Roman" w:eastAsia="Times New Roman" w:hAnsi="Times New Roman" w:cs="Times New Roman"/>
          <w:color w:val="222222"/>
          <w:sz w:val="28"/>
          <w:szCs w:val="28"/>
          <w:highlight w:val="white"/>
        </w:rPr>
        <w:t>analyse</w:t>
      </w:r>
      <w:proofErr w:type="spellEnd"/>
      <w:r>
        <w:rPr>
          <w:rFonts w:ascii="Times New Roman" w:eastAsia="Times New Roman" w:hAnsi="Times New Roman" w:cs="Times New Roman"/>
          <w:color w:val="222222"/>
          <w:sz w:val="28"/>
          <w:szCs w:val="28"/>
          <w:highlight w:val="white"/>
        </w:rPr>
        <w:t xml:space="preserve"> the Hilton Hotel Group’s sustainability report in 2019 and judge its credibility.</w:t>
      </w:r>
    </w:p>
    <w:p w14:paraId="00000016" w14:textId="77777777" w:rsidR="005901A6" w:rsidRDefault="005901A6" w:rsidP="00B154BB">
      <w:pPr>
        <w:jc w:val="both"/>
        <w:rPr>
          <w:rFonts w:ascii="Times New Roman" w:eastAsia="Times New Roman" w:hAnsi="Times New Roman" w:cs="Times New Roman"/>
          <w:color w:val="222222"/>
          <w:sz w:val="28"/>
          <w:szCs w:val="28"/>
          <w:highlight w:val="white"/>
        </w:rPr>
      </w:pPr>
    </w:p>
    <w:p w14:paraId="00000017" w14:textId="7F5668A4" w:rsidR="005901A6" w:rsidRDefault="005776F5" w:rsidP="009710C2">
      <w:pPr>
        <w:pStyle w:val="Heading2"/>
        <w:numPr>
          <w:ilvl w:val="0"/>
          <w:numId w:val="1"/>
        </w:numPr>
        <w:jc w:val="both"/>
        <w:rPr>
          <w:rFonts w:ascii="Times New Roman" w:eastAsia="Times New Roman" w:hAnsi="Times New Roman" w:cs="Times New Roman"/>
          <w:b/>
        </w:rPr>
      </w:pPr>
      <w:bookmarkStart w:id="2" w:name="_fk0vqdvknmh2" w:colFirst="0" w:colLast="0"/>
      <w:bookmarkEnd w:id="2"/>
      <w:r>
        <w:rPr>
          <w:rFonts w:ascii="Times New Roman" w:eastAsia="Times New Roman" w:hAnsi="Times New Roman" w:cs="Times New Roman"/>
          <w:b/>
        </w:rPr>
        <w:t xml:space="preserve">Materiality in sustainability report </w:t>
      </w:r>
    </w:p>
    <w:p w14:paraId="00000018" w14:textId="77777777" w:rsidR="005901A6" w:rsidRDefault="005901A6" w:rsidP="00B154BB">
      <w:pPr>
        <w:jc w:val="both"/>
        <w:rPr>
          <w:rFonts w:ascii="Times New Roman" w:eastAsia="Times New Roman" w:hAnsi="Times New Roman" w:cs="Times New Roman"/>
          <w:color w:val="222222"/>
          <w:sz w:val="28"/>
          <w:szCs w:val="28"/>
          <w:highlight w:val="white"/>
        </w:rPr>
      </w:pPr>
    </w:p>
    <w:p w14:paraId="00000019" w14:textId="36552E87" w:rsidR="005901A6" w:rsidRDefault="005776F5" w:rsidP="00B154BB">
      <w:pPr>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Topics in a sustainability report can include a wide range of heterogeneous criteria such as energy usage, human rights, social contribution or biodiversity. As a result</w:t>
      </w:r>
      <w:r w:rsidR="00A21F71">
        <w:rPr>
          <w:rFonts w:ascii="Times New Roman" w:eastAsia="Times New Roman" w:hAnsi="Times New Roman" w:cs="Times New Roman"/>
          <w:color w:val="222222"/>
          <w:sz w:val="28"/>
          <w:szCs w:val="28"/>
          <w:highlight w:val="white"/>
        </w:rPr>
        <w:t xml:space="preserve">, the sustainable practices and criteria in the report can be ambiguous and the enterprises might have difficulty in determining what is the material for this heterogeneous and non-financial information </w:t>
      </w:r>
      <w:r>
        <w:rPr>
          <w:rFonts w:ascii="Times New Roman" w:eastAsia="Times New Roman" w:hAnsi="Times New Roman" w:cs="Times New Roman"/>
          <w:color w:val="222222"/>
          <w:sz w:val="28"/>
          <w:szCs w:val="28"/>
          <w:highlight w:val="white"/>
        </w:rPr>
        <w:t>(</w:t>
      </w:r>
      <w:proofErr w:type="spellStart"/>
      <w:r>
        <w:rPr>
          <w:rFonts w:ascii="Times New Roman" w:eastAsia="Times New Roman" w:hAnsi="Times New Roman" w:cs="Times New Roman"/>
          <w:color w:val="222222"/>
          <w:sz w:val="28"/>
          <w:szCs w:val="28"/>
          <w:highlight w:val="white"/>
        </w:rPr>
        <w:t>Reimsbach</w:t>
      </w:r>
      <w:proofErr w:type="spellEnd"/>
      <w:r>
        <w:rPr>
          <w:rFonts w:ascii="Times New Roman" w:eastAsia="Times New Roman" w:hAnsi="Times New Roman" w:cs="Times New Roman"/>
          <w:color w:val="222222"/>
          <w:sz w:val="28"/>
          <w:szCs w:val="28"/>
          <w:highlight w:val="white"/>
        </w:rPr>
        <w:t xml:space="preserve">, </w:t>
      </w:r>
      <w:proofErr w:type="spellStart"/>
      <w:r>
        <w:rPr>
          <w:rFonts w:ascii="Times New Roman" w:eastAsia="Times New Roman" w:hAnsi="Times New Roman" w:cs="Times New Roman"/>
          <w:color w:val="222222"/>
          <w:sz w:val="28"/>
          <w:szCs w:val="28"/>
          <w:highlight w:val="white"/>
        </w:rPr>
        <w:t>Schiemann</w:t>
      </w:r>
      <w:proofErr w:type="spellEnd"/>
      <w:r>
        <w:rPr>
          <w:rFonts w:ascii="Times New Roman" w:eastAsia="Times New Roman" w:hAnsi="Times New Roman" w:cs="Times New Roman"/>
          <w:color w:val="222222"/>
          <w:sz w:val="28"/>
          <w:szCs w:val="28"/>
          <w:highlight w:val="white"/>
        </w:rPr>
        <w:t xml:space="preserve">, Hahn and </w:t>
      </w:r>
      <w:proofErr w:type="spellStart"/>
      <w:r>
        <w:rPr>
          <w:rFonts w:ascii="Times New Roman" w:eastAsia="Times New Roman" w:hAnsi="Times New Roman" w:cs="Times New Roman"/>
          <w:color w:val="222222"/>
          <w:sz w:val="28"/>
          <w:szCs w:val="28"/>
          <w:highlight w:val="white"/>
        </w:rPr>
        <w:t>Schmieden</w:t>
      </w:r>
      <w:proofErr w:type="spellEnd"/>
      <w:r>
        <w:rPr>
          <w:rFonts w:ascii="Times New Roman" w:eastAsia="Times New Roman" w:hAnsi="Times New Roman" w:cs="Times New Roman"/>
          <w:color w:val="222222"/>
          <w:sz w:val="28"/>
          <w:szCs w:val="28"/>
          <w:highlight w:val="white"/>
        </w:rPr>
        <w:t>, 2019). To solve this problem, some organizations have come up with definitions and criteria to assess sustainability practices. The Sustainability Accounting Standards Board (SASB) and the Global Reporting Initiative (GRI) have publishe</w:t>
      </w:r>
      <w:r w:rsidR="003E2328">
        <w:rPr>
          <w:rFonts w:ascii="Times New Roman" w:eastAsia="Times New Roman" w:hAnsi="Times New Roman" w:cs="Times New Roman"/>
          <w:color w:val="222222"/>
          <w:sz w:val="28"/>
          <w:szCs w:val="28"/>
          <w:highlight w:val="white"/>
        </w:rPr>
        <w:t>d a guideline for sustainable</w:t>
      </w:r>
      <w:r>
        <w:rPr>
          <w:rFonts w:ascii="Times New Roman" w:eastAsia="Times New Roman" w:hAnsi="Times New Roman" w:cs="Times New Roman"/>
          <w:color w:val="222222"/>
          <w:sz w:val="28"/>
          <w:szCs w:val="28"/>
          <w:highlight w:val="white"/>
        </w:rPr>
        <w:t xml:space="preserve"> report with material definitions. This paper will evaluate the Hilton’s 2019 sustainability report</w:t>
      </w:r>
      <w:r w:rsidR="00681441">
        <w:rPr>
          <w:rFonts w:ascii="Times New Roman" w:eastAsia="Times New Roman" w:hAnsi="Times New Roman" w:cs="Times New Roman"/>
          <w:color w:val="222222"/>
          <w:sz w:val="28"/>
          <w:szCs w:val="28"/>
          <w:highlight w:val="white"/>
        </w:rPr>
        <w:t xml:space="preserve"> (Hilton, 2019) based</w:t>
      </w:r>
      <w:r>
        <w:rPr>
          <w:rFonts w:ascii="Times New Roman" w:eastAsia="Times New Roman" w:hAnsi="Times New Roman" w:cs="Times New Roman"/>
          <w:color w:val="222222"/>
          <w:sz w:val="28"/>
          <w:szCs w:val="28"/>
          <w:highlight w:val="white"/>
        </w:rPr>
        <w:t xml:space="preserve"> on the GRI guidelines.</w:t>
      </w:r>
    </w:p>
    <w:p w14:paraId="0000001A" w14:textId="77777777" w:rsidR="005901A6" w:rsidRDefault="005901A6" w:rsidP="00B154BB">
      <w:pPr>
        <w:jc w:val="both"/>
        <w:rPr>
          <w:rFonts w:ascii="Times New Roman" w:eastAsia="Times New Roman" w:hAnsi="Times New Roman" w:cs="Times New Roman"/>
          <w:color w:val="222222"/>
          <w:sz w:val="28"/>
          <w:szCs w:val="28"/>
          <w:highlight w:val="white"/>
        </w:rPr>
      </w:pPr>
    </w:p>
    <w:p w14:paraId="0000001B" w14:textId="69E991E6" w:rsidR="005901A6" w:rsidRDefault="005776F5" w:rsidP="009710C2">
      <w:pPr>
        <w:pStyle w:val="Heading2"/>
        <w:numPr>
          <w:ilvl w:val="0"/>
          <w:numId w:val="1"/>
        </w:numPr>
        <w:jc w:val="both"/>
        <w:rPr>
          <w:rFonts w:ascii="Times New Roman" w:eastAsia="Times New Roman" w:hAnsi="Times New Roman" w:cs="Times New Roman"/>
          <w:b/>
        </w:rPr>
      </w:pPr>
      <w:bookmarkStart w:id="3" w:name="_f3o7zfpmr7hn" w:colFirst="0" w:colLast="0"/>
      <w:bookmarkEnd w:id="3"/>
      <w:r>
        <w:rPr>
          <w:rFonts w:ascii="Times New Roman" w:eastAsia="Times New Roman" w:hAnsi="Times New Roman" w:cs="Times New Roman"/>
          <w:b/>
        </w:rPr>
        <w:t>Body</w:t>
      </w:r>
    </w:p>
    <w:p w14:paraId="0000001D" w14:textId="4E28DC28" w:rsidR="005901A6" w:rsidRDefault="005776F5" w:rsidP="009710C2">
      <w:pPr>
        <w:pStyle w:val="Heading3"/>
        <w:numPr>
          <w:ilvl w:val="1"/>
          <w:numId w:val="1"/>
        </w:numPr>
        <w:shd w:val="clear" w:color="auto" w:fill="FFFFFF"/>
        <w:spacing w:after="240"/>
        <w:jc w:val="both"/>
      </w:pPr>
      <w:bookmarkStart w:id="4" w:name="_vde834psvwkd" w:colFirst="0" w:colLast="0"/>
      <w:bookmarkEnd w:id="4"/>
      <w:r>
        <w:t>Environmental initiatives and results</w:t>
      </w:r>
    </w:p>
    <w:p w14:paraId="0000001E" w14:textId="590B4395" w:rsidR="005901A6" w:rsidRDefault="005776F5" w:rsidP="009710C2">
      <w:pPr>
        <w:pStyle w:val="Heading4"/>
        <w:numPr>
          <w:ilvl w:val="2"/>
          <w:numId w:val="1"/>
        </w:numPr>
        <w:jc w:val="both"/>
      </w:pPr>
      <w:bookmarkStart w:id="5" w:name="_c0yf5igvivm3" w:colFirst="0" w:colLast="0"/>
      <w:bookmarkEnd w:id="5"/>
      <w:r>
        <w:t>Materials, Energy and Water</w:t>
      </w:r>
    </w:p>
    <w:p w14:paraId="0000001F" w14:textId="77777777" w:rsidR="005901A6" w:rsidRDefault="005901A6" w:rsidP="00B154BB">
      <w:pPr>
        <w:jc w:val="both"/>
        <w:rPr>
          <w:rFonts w:ascii="Times New Roman" w:eastAsia="Times New Roman" w:hAnsi="Times New Roman" w:cs="Times New Roman"/>
          <w:sz w:val="28"/>
          <w:szCs w:val="28"/>
        </w:rPr>
      </w:pPr>
    </w:p>
    <w:p w14:paraId="00000020" w14:textId="08BAA9BA" w:rsidR="005901A6" w:rsidRPr="00D402D3" w:rsidRDefault="005776F5" w:rsidP="00B15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terms of the “Material” criteria, the Hilton only justifies GRI 301-2, which they claim to recycle and donate to 127 countries in need all soaps used by guests in their managed hote</w:t>
      </w:r>
      <w:r w:rsidR="00544A9C">
        <w:rPr>
          <w:rFonts w:ascii="Times New Roman" w:eastAsia="Times New Roman" w:hAnsi="Times New Roman" w:cs="Times New Roman"/>
          <w:sz w:val="28"/>
          <w:szCs w:val="28"/>
        </w:rPr>
        <w:t>ls and 88% of their portfolio. By 2022, all small plastic bath toiletries will</w:t>
      </w:r>
      <w:r>
        <w:rPr>
          <w:rFonts w:ascii="Times New Roman" w:eastAsia="Times New Roman" w:hAnsi="Times New Roman" w:cs="Times New Roman"/>
          <w:sz w:val="28"/>
          <w:szCs w:val="28"/>
        </w:rPr>
        <w:t xml:space="preserve"> be converted to </w:t>
      </w:r>
      <w:r w:rsidR="00544A9C">
        <w:rPr>
          <w:rFonts w:ascii="Times New Roman" w:eastAsia="Times New Roman" w:hAnsi="Times New Roman" w:cs="Times New Roman"/>
          <w:sz w:val="28"/>
          <w:szCs w:val="28"/>
        </w:rPr>
        <w:t>large size</w:t>
      </w:r>
      <w:r>
        <w:rPr>
          <w:rFonts w:ascii="Times New Roman" w:eastAsia="Times New Roman" w:hAnsi="Times New Roman" w:cs="Times New Roman"/>
          <w:sz w:val="28"/>
          <w:szCs w:val="28"/>
        </w:rPr>
        <w:t xml:space="preserve"> dispensers </w:t>
      </w:r>
      <w:r w:rsidR="00544A9C">
        <w:rPr>
          <w:rFonts w:ascii="Times New Roman" w:eastAsia="Times New Roman" w:hAnsi="Times New Roman" w:cs="Times New Roman"/>
          <w:sz w:val="28"/>
          <w:szCs w:val="28"/>
        </w:rPr>
        <w:t>in all of the properties</w:t>
      </w:r>
      <w:r>
        <w:rPr>
          <w:rFonts w:ascii="Times New Roman" w:eastAsia="Times New Roman" w:hAnsi="Times New Roman" w:cs="Times New Roman"/>
          <w:sz w:val="28"/>
          <w:szCs w:val="28"/>
        </w:rPr>
        <w:t xml:space="preserve">. </w:t>
      </w:r>
      <w:r w:rsidR="00D402D3">
        <w:rPr>
          <w:rFonts w:ascii="Times New Roman" w:eastAsia="Times New Roman" w:hAnsi="Times New Roman" w:cs="Times New Roman"/>
          <w:sz w:val="28"/>
          <w:szCs w:val="28"/>
        </w:rPr>
        <w:t>The corporation has also</w:t>
      </w:r>
      <w:r>
        <w:rPr>
          <w:rFonts w:ascii="Times New Roman" w:eastAsia="Times New Roman" w:hAnsi="Times New Roman" w:cs="Times New Roman"/>
          <w:sz w:val="28"/>
          <w:szCs w:val="28"/>
        </w:rPr>
        <w:t xml:space="preserve"> set a ban on plastic bottles from all meetings and on plastic straws, cocktail picks and stir sticks</w:t>
      </w:r>
      <w:r w:rsidR="00D402D3">
        <w:rPr>
          <w:rFonts w:ascii="Times New Roman" w:eastAsia="Times New Roman" w:hAnsi="Times New Roman" w:cs="Times New Roman"/>
          <w:sz w:val="28"/>
          <w:szCs w:val="28"/>
        </w:rPr>
        <w:t xml:space="preserve"> globally</w:t>
      </w:r>
      <w:r>
        <w:rPr>
          <w:rFonts w:ascii="Times New Roman" w:eastAsia="Times New Roman" w:hAnsi="Times New Roman" w:cs="Times New Roman"/>
          <w:sz w:val="28"/>
          <w:szCs w:val="28"/>
        </w:rPr>
        <w:t xml:space="preserve"> for all purposes. The hotel reported that over 3.4 million pounds of soap and plastic bottles were recycled.</w:t>
      </w:r>
    </w:p>
    <w:p w14:paraId="00000021" w14:textId="77777777" w:rsidR="005901A6" w:rsidRDefault="005901A6" w:rsidP="00B154BB">
      <w:pPr>
        <w:jc w:val="both"/>
        <w:rPr>
          <w:rFonts w:ascii="Times New Roman" w:eastAsia="Times New Roman" w:hAnsi="Times New Roman" w:cs="Times New Roman"/>
          <w:sz w:val="28"/>
          <w:szCs w:val="28"/>
        </w:rPr>
      </w:pPr>
    </w:p>
    <w:p w14:paraId="00000022" w14:textId="77777777" w:rsidR="005901A6" w:rsidRDefault="005776F5" w:rsidP="00B154BB">
      <w:pPr>
        <w:jc w:val="both"/>
      </w:pPr>
      <w:r>
        <w:rPr>
          <w:rFonts w:ascii="Times New Roman" w:eastAsia="Times New Roman" w:hAnsi="Times New Roman" w:cs="Times New Roman"/>
          <w:sz w:val="28"/>
          <w:szCs w:val="28"/>
        </w:rPr>
        <w:t xml:space="preserve">The Hilton Hotel Group pays a lot of attention to their internal energy consumption, which is proven by the fact that they qualify all GRI 302 criteria except for GRI 302-2. 100% of their properties qualify the ISO 50001 (Energy </w:t>
      </w:r>
      <w:r>
        <w:rPr>
          <w:rFonts w:ascii="Times New Roman" w:eastAsia="Times New Roman" w:hAnsi="Times New Roman" w:cs="Times New Roman"/>
          <w:sz w:val="28"/>
          <w:szCs w:val="28"/>
        </w:rPr>
        <w:lastRenderedPageBreak/>
        <w:t xml:space="preserve">Management System), the group is recorded to have the largest certified portfolio in the world. 1,100 hotels of the Hilton also re-lamped to LED. Since 2008, all Hilton hotels have been able to reduce the energy consumption by 32%. This reduction has been achieved as a result of ongoing energy conservation activities and efficient implementation of 6.445 innovative energy-saving technologies approved by </w:t>
      </w:r>
      <w:proofErr w:type="spellStart"/>
      <w:r>
        <w:rPr>
          <w:rFonts w:ascii="Times New Roman" w:eastAsia="Times New Roman" w:hAnsi="Times New Roman" w:cs="Times New Roman"/>
          <w:sz w:val="28"/>
          <w:szCs w:val="28"/>
        </w:rPr>
        <w:t>LightStay</w:t>
      </w:r>
      <w:proofErr w:type="spellEnd"/>
      <w:r>
        <w:rPr>
          <w:rFonts w:ascii="Times New Roman" w:eastAsia="Times New Roman" w:hAnsi="Times New Roman" w:cs="Times New Roman"/>
          <w:sz w:val="28"/>
          <w:szCs w:val="28"/>
        </w:rPr>
        <w:t xml:space="preserve">, which is a program to measure and manage sustainable practices, their activities on procuring renewable energy have science-based targets. </w:t>
      </w:r>
    </w:p>
    <w:p w14:paraId="00000023" w14:textId="77777777" w:rsidR="005901A6" w:rsidRDefault="005901A6" w:rsidP="00B154BB">
      <w:pPr>
        <w:jc w:val="both"/>
        <w:rPr>
          <w:rFonts w:ascii="Times New Roman" w:eastAsia="Times New Roman" w:hAnsi="Times New Roman" w:cs="Times New Roman"/>
          <w:sz w:val="28"/>
          <w:szCs w:val="28"/>
        </w:rPr>
      </w:pPr>
    </w:p>
    <w:p w14:paraId="00000024" w14:textId="4D8578C0" w:rsidR="005901A6" w:rsidRDefault="005776F5" w:rsidP="00B15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Hilton tries to improve their water efficiency by some water wi</w:t>
      </w:r>
      <w:r w:rsidR="007A7D4C">
        <w:rPr>
          <w:rFonts w:ascii="Times New Roman" w:eastAsia="Times New Roman" w:hAnsi="Times New Roman" w:cs="Times New Roman"/>
          <w:sz w:val="28"/>
          <w:szCs w:val="28"/>
        </w:rPr>
        <w:t>thdrawal activities. All</w:t>
      </w:r>
      <w:r>
        <w:rPr>
          <w:rFonts w:ascii="Times New Roman" w:eastAsia="Times New Roman" w:hAnsi="Times New Roman" w:cs="Times New Roman"/>
          <w:sz w:val="28"/>
          <w:szCs w:val="28"/>
        </w:rPr>
        <w:t xml:space="preserve"> of Hilton hotels </w:t>
      </w:r>
      <w:r w:rsidR="007A7D4C">
        <w:rPr>
          <w:rFonts w:ascii="Times New Roman" w:eastAsia="Times New Roman" w:hAnsi="Times New Roman" w:cs="Times New Roman"/>
          <w:sz w:val="28"/>
          <w:szCs w:val="28"/>
        </w:rPr>
        <w:t>apply the</w:t>
      </w:r>
      <w:r>
        <w:rPr>
          <w:rFonts w:ascii="Times New Roman" w:eastAsia="Times New Roman" w:hAnsi="Times New Roman" w:cs="Times New Roman"/>
          <w:sz w:val="28"/>
          <w:szCs w:val="28"/>
        </w:rPr>
        <w:t xml:space="preserve"> WWF’s Water Risk Filter, which is a framework to explore water risk. </w:t>
      </w:r>
      <w:r w:rsidR="007A7D4C">
        <w:rPr>
          <w:rFonts w:ascii="Times New Roman" w:eastAsia="Times New Roman" w:hAnsi="Times New Roman" w:cs="Times New Roman"/>
          <w:sz w:val="28"/>
          <w:szCs w:val="28"/>
        </w:rPr>
        <w:t>The Hilton Garden Inn Dubai reported to save 6,000 gallons per day by the greywater recycling system</w:t>
      </w:r>
      <w:r>
        <w:rPr>
          <w:rFonts w:ascii="Times New Roman" w:eastAsia="Times New Roman" w:hAnsi="Times New Roman" w:cs="Times New Roman"/>
          <w:sz w:val="28"/>
          <w:szCs w:val="28"/>
        </w:rPr>
        <w:t xml:space="preserve">. </w:t>
      </w:r>
      <w:r w:rsidR="007A7D4C">
        <w:rPr>
          <w:rFonts w:ascii="Times New Roman" w:eastAsia="Times New Roman" w:hAnsi="Times New Roman" w:cs="Times New Roman"/>
          <w:sz w:val="28"/>
          <w:szCs w:val="28"/>
        </w:rPr>
        <w:t>Smart irrigation controls and drip irrigation were installed in more than 1,700 hotels worldwide</w:t>
      </w:r>
      <w:r w:rsidR="00781D01">
        <w:rPr>
          <w:rFonts w:ascii="Times New Roman" w:eastAsia="Times New Roman" w:hAnsi="Times New Roman" w:cs="Times New Roman"/>
          <w:sz w:val="28"/>
          <w:szCs w:val="28"/>
        </w:rPr>
        <w:t>.</w:t>
      </w:r>
    </w:p>
    <w:p w14:paraId="00000025" w14:textId="77777777" w:rsidR="005901A6" w:rsidRDefault="005901A6" w:rsidP="00B154BB">
      <w:pPr>
        <w:jc w:val="both"/>
        <w:rPr>
          <w:rFonts w:ascii="Times New Roman" w:eastAsia="Times New Roman" w:hAnsi="Times New Roman" w:cs="Times New Roman"/>
          <w:sz w:val="28"/>
          <w:szCs w:val="28"/>
        </w:rPr>
      </w:pPr>
    </w:p>
    <w:p w14:paraId="00000026" w14:textId="68DD29E1" w:rsidR="005901A6" w:rsidRDefault="005776F5" w:rsidP="009710C2">
      <w:pPr>
        <w:pStyle w:val="Heading4"/>
        <w:numPr>
          <w:ilvl w:val="2"/>
          <w:numId w:val="1"/>
        </w:numPr>
        <w:jc w:val="both"/>
      </w:pPr>
      <w:bookmarkStart w:id="6" w:name="_pb9rh1n78xu5" w:colFirst="0" w:colLast="0"/>
      <w:bookmarkEnd w:id="6"/>
      <w:r>
        <w:t>Biodiversity, Emissions and Waste</w:t>
      </w:r>
    </w:p>
    <w:p w14:paraId="00000027" w14:textId="77777777" w:rsidR="005901A6" w:rsidRDefault="005901A6" w:rsidP="00B154BB">
      <w:pPr>
        <w:jc w:val="both"/>
        <w:rPr>
          <w:rFonts w:ascii="Times New Roman" w:eastAsia="Times New Roman" w:hAnsi="Times New Roman" w:cs="Times New Roman"/>
          <w:sz w:val="28"/>
          <w:szCs w:val="28"/>
        </w:rPr>
      </w:pPr>
    </w:p>
    <w:p w14:paraId="00000028" w14:textId="3ACAB30A" w:rsidR="005901A6" w:rsidRDefault="005776F5" w:rsidP="00B15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Out of four criteria in GRI - 304, Hilton hotels only adopt one of them (GRI - 304.1). The properties in the U.S. mapped </w:t>
      </w:r>
      <w:r w:rsidR="00E252B5">
        <w:rPr>
          <w:rFonts w:ascii="Times New Roman" w:eastAsia="Times New Roman" w:hAnsi="Times New Roman" w:cs="Times New Roman"/>
          <w:sz w:val="28"/>
          <w:szCs w:val="28"/>
        </w:rPr>
        <w:t>based on</w:t>
      </w:r>
      <w:r>
        <w:rPr>
          <w:rFonts w:ascii="Times New Roman" w:eastAsia="Times New Roman" w:hAnsi="Times New Roman" w:cs="Times New Roman"/>
          <w:sz w:val="28"/>
          <w:szCs w:val="28"/>
        </w:rPr>
        <w:t xml:space="preserve"> 100-year flood zone areas by the U.S. Federal Emergency Management Agency (FEMA). In 2018, the hotel launched the Big Five commitment to invest $1 million in sustainable travel and tourism in Africa. The Big Five focus areas are Youth Opportunity, Water Stewardship, Anti-Human Trafficking, Local Sourcing and Wildlife Protection.</w:t>
      </w:r>
    </w:p>
    <w:p w14:paraId="00000029" w14:textId="77777777" w:rsidR="005901A6" w:rsidRDefault="005776F5" w:rsidP="00B15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A" w14:textId="3D94FB00" w:rsidR="005901A6" w:rsidRDefault="005776F5" w:rsidP="00B15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Hilton</w:t>
      </w:r>
      <w:r w:rsidR="009B0001">
        <w:rPr>
          <w:rFonts w:ascii="Times New Roman" w:eastAsia="Times New Roman" w:hAnsi="Times New Roman" w:cs="Times New Roman"/>
          <w:sz w:val="28"/>
          <w:szCs w:val="28"/>
        </w:rPr>
        <w:t xml:space="preserve"> is the first hotel brand to invest in carbon limit target based on</w:t>
      </w:r>
      <w:r>
        <w:rPr>
          <w:rFonts w:ascii="Times New Roman" w:eastAsia="Times New Roman" w:hAnsi="Times New Roman" w:cs="Times New Roman"/>
          <w:sz w:val="28"/>
          <w:szCs w:val="28"/>
        </w:rPr>
        <w:t xml:space="preserve"> </w:t>
      </w:r>
      <w:r w:rsidR="009B0001">
        <w:rPr>
          <w:rFonts w:ascii="Times New Roman" w:eastAsia="Times New Roman" w:hAnsi="Times New Roman" w:cs="Times New Roman"/>
          <w:sz w:val="28"/>
          <w:szCs w:val="28"/>
        </w:rPr>
        <w:t>scientific research</w:t>
      </w:r>
      <w:r>
        <w:rPr>
          <w:rFonts w:ascii="Times New Roman" w:eastAsia="Times New Roman" w:hAnsi="Times New Roman" w:cs="Times New Roman"/>
          <w:sz w:val="28"/>
          <w:szCs w:val="28"/>
        </w:rPr>
        <w:t xml:space="preserve">, particularly they aim to reduce Scope 1 and 2 carbon intensity by 61%. </w:t>
      </w:r>
      <w:r w:rsidR="009B0001">
        <w:rPr>
          <w:rFonts w:ascii="Times New Roman" w:eastAsia="Times New Roman" w:hAnsi="Times New Roman" w:cs="Times New Roman"/>
          <w:sz w:val="28"/>
          <w:szCs w:val="28"/>
        </w:rPr>
        <w:t>To offset their Scope 3 corporate emissions from air travel and rental cars,</w:t>
      </w:r>
      <w:r w:rsidR="000D565C">
        <w:rPr>
          <w:rFonts w:ascii="Times New Roman" w:eastAsia="Times New Roman" w:hAnsi="Times New Roman" w:cs="Times New Roman"/>
          <w:sz w:val="28"/>
          <w:szCs w:val="28"/>
        </w:rPr>
        <w:t xml:space="preserve"> the hotel chain</w:t>
      </w:r>
      <w:r>
        <w:rPr>
          <w:rFonts w:ascii="Times New Roman" w:eastAsia="Times New Roman" w:hAnsi="Times New Roman" w:cs="Times New Roman"/>
          <w:sz w:val="28"/>
          <w:szCs w:val="28"/>
        </w:rPr>
        <w:t xml:space="preserve"> purchased carbon credits </w:t>
      </w:r>
      <w:r w:rsidR="00C81C68">
        <w:rPr>
          <w:rFonts w:ascii="Times New Roman" w:eastAsia="Times New Roman" w:hAnsi="Times New Roman" w:cs="Times New Roman"/>
          <w:sz w:val="28"/>
          <w:szCs w:val="28"/>
        </w:rPr>
        <w:t>and promised to continue this activity in the future</w:t>
      </w:r>
      <w:r>
        <w:rPr>
          <w:rFonts w:ascii="Times New Roman" w:eastAsia="Times New Roman" w:hAnsi="Times New Roman" w:cs="Times New Roman"/>
          <w:sz w:val="28"/>
          <w:szCs w:val="28"/>
        </w:rPr>
        <w:t>. Besides, the hotel chain also planned to create partnership wit</w:t>
      </w:r>
      <w:r w:rsidR="00C81C68">
        <w:rPr>
          <w:rFonts w:ascii="Times New Roman" w:eastAsia="Times New Roman" w:hAnsi="Times New Roman" w:cs="Times New Roman"/>
          <w:sz w:val="28"/>
          <w:szCs w:val="28"/>
        </w:rPr>
        <w:t xml:space="preserve">h cross-industry networks towards a low carbon footprint outcome in the future </w:t>
      </w:r>
      <w:r>
        <w:rPr>
          <w:rFonts w:ascii="Times New Roman" w:eastAsia="Times New Roman" w:hAnsi="Times New Roman" w:cs="Times New Roman"/>
          <w:sz w:val="28"/>
          <w:szCs w:val="28"/>
        </w:rPr>
        <w:t>and collaboration with WWF, WRI, The Climate Group, etc.</w:t>
      </w:r>
    </w:p>
    <w:p w14:paraId="0000002B" w14:textId="77777777" w:rsidR="005901A6" w:rsidRDefault="005901A6" w:rsidP="00B154BB">
      <w:pPr>
        <w:jc w:val="both"/>
        <w:rPr>
          <w:rFonts w:ascii="Times New Roman" w:eastAsia="Times New Roman" w:hAnsi="Times New Roman" w:cs="Times New Roman"/>
          <w:sz w:val="28"/>
          <w:szCs w:val="28"/>
        </w:rPr>
      </w:pPr>
    </w:p>
    <w:p w14:paraId="0000002C" w14:textId="67B1BA58" w:rsidR="005901A6" w:rsidRDefault="005776F5" w:rsidP="00B15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Hilton established a food waste program in the Americas and piloting in EMEA and APAC. The hotel group also joined as a member of the United </w:t>
      </w:r>
      <w:r>
        <w:rPr>
          <w:rFonts w:ascii="Times New Roman" w:eastAsia="Times New Roman" w:hAnsi="Times New Roman" w:cs="Times New Roman"/>
          <w:sz w:val="28"/>
          <w:szCs w:val="28"/>
        </w:rPr>
        <w:lastRenderedPageBreak/>
        <w:t xml:space="preserve">States Department of Agriculture, Environmental Protection Agency, and Food and Drug Administration’s U.S. Food Loss and Waste 2030 Champions network of organizations that have committed to fighting food waste. 890 hotels globally have implemented composting programs. </w:t>
      </w:r>
    </w:p>
    <w:p w14:paraId="0000002D" w14:textId="77777777" w:rsidR="005901A6" w:rsidRDefault="005776F5" w:rsidP="00B15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E" w14:textId="3D96C387" w:rsidR="005901A6" w:rsidRDefault="005776F5" w:rsidP="006943E2">
      <w:pPr>
        <w:pStyle w:val="Heading3"/>
        <w:numPr>
          <w:ilvl w:val="1"/>
          <w:numId w:val="1"/>
        </w:numPr>
        <w:jc w:val="both"/>
        <w:rPr>
          <w:rFonts w:ascii="Times New Roman" w:eastAsia="Times New Roman" w:hAnsi="Times New Roman" w:cs="Times New Roman"/>
        </w:rPr>
      </w:pPr>
      <w:bookmarkStart w:id="7" w:name="_cybtpqljrfy0" w:colFirst="0" w:colLast="0"/>
      <w:bookmarkEnd w:id="7"/>
      <w:r>
        <w:t>Social initiatives and results</w:t>
      </w:r>
    </w:p>
    <w:p w14:paraId="0000002F" w14:textId="77777777" w:rsidR="005901A6" w:rsidRDefault="005776F5" w:rsidP="00B15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30" w14:textId="7B55CA4B" w:rsidR="005901A6" w:rsidRDefault="00C81C68" w:rsidP="00B15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w:t>
      </w:r>
      <w:r w:rsidR="005776F5">
        <w:rPr>
          <w:rFonts w:ascii="Times New Roman" w:eastAsia="Times New Roman" w:hAnsi="Times New Roman" w:cs="Times New Roman"/>
          <w:sz w:val="28"/>
          <w:szCs w:val="28"/>
        </w:rPr>
        <w:t>Hilton</w:t>
      </w:r>
      <w:r>
        <w:rPr>
          <w:rFonts w:ascii="Times New Roman" w:eastAsia="Times New Roman" w:hAnsi="Times New Roman" w:cs="Times New Roman"/>
          <w:sz w:val="28"/>
          <w:szCs w:val="28"/>
        </w:rPr>
        <w:t xml:space="preserve"> staff are offered</w:t>
      </w:r>
      <w:r w:rsidR="005776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with</w:t>
      </w:r>
      <w:r w:rsidR="005776F5">
        <w:rPr>
          <w:rFonts w:ascii="Times New Roman" w:eastAsia="Times New Roman" w:hAnsi="Times New Roman" w:cs="Times New Roman"/>
          <w:sz w:val="28"/>
          <w:szCs w:val="28"/>
        </w:rPr>
        <w:t xml:space="preserve"> benefits for</w:t>
      </w:r>
      <w:r>
        <w:rPr>
          <w:rFonts w:ascii="Times New Roman" w:eastAsia="Times New Roman" w:hAnsi="Times New Roman" w:cs="Times New Roman"/>
          <w:sz w:val="28"/>
          <w:szCs w:val="28"/>
        </w:rPr>
        <w:t xml:space="preserve"> both work life</w:t>
      </w:r>
      <w:r w:rsidR="005776F5">
        <w:rPr>
          <w:rFonts w:ascii="Times New Roman" w:eastAsia="Times New Roman" w:hAnsi="Times New Roman" w:cs="Times New Roman"/>
          <w:sz w:val="28"/>
          <w:szCs w:val="28"/>
        </w:rPr>
        <w:t xml:space="preserve"> and</w:t>
      </w:r>
      <w:r>
        <w:rPr>
          <w:rFonts w:ascii="Times New Roman" w:eastAsia="Times New Roman" w:hAnsi="Times New Roman" w:cs="Times New Roman"/>
          <w:sz w:val="28"/>
          <w:szCs w:val="28"/>
        </w:rPr>
        <w:t xml:space="preserve"> personal</w:t>
      </w:r>
      <w:r w:rsidR="005776F5">
        <w:rPr>
          <w:rFonts w:ascii="Times New Roman" w:eastAsia="Times New Roman" w:hAnsi="Times New Roman" w:cs="Times New Roman"/>
          <w:sz w:val="28"/>
          <w:szCs w:val="28"/>
        </w:rPr>
        <w:t xml:space="preserve"> well-being</w:t>
      </w:r>
      <w:r>
        <w:rPr>
          <w:rFonts w:ascii="Times New Roman" w:eastAsia="Times New Roman" w:hAnsi="Times New Roman" w:cs="Times New Roman"/>
          <w:sz w:val="28"/>
          <w:szCs w:val="28"/>
        </w:rPr>
        <w:t xml:space="preserve"> life</w:t>
      </w:r>
      <w:r w:rsidR="005776F5">
        <w:rPr>
          <w:rFonts w:ascii="Times New Roman" w:eastAsia="Times New Roman" w:hAnsi="Times New Roman" w:cs="Times New Roman"/>
          <w:sz w:val="28"/>
          <w:szCs w:val="28"/>
        </w:rPr>
        <w:t>, including family support like parental leave, financial assistance for adoption or Milk Stork to support new moms. With these activities, Hilton won the 1st place for the best company to work in the US and the world’s 2nd best workplace by Fortune Magazine. For training and education, Hilton offers t</w:t>
      </w:r>
      <w:r>
        <w:rPr>
          <w:rFonts w:ascii="Times New Roman" w:eastAsia="Times New Roman" w:hAnsi="Times New Roman" w:cs="Times New Roman"/>
          <w:sz w:val="28"/>
          <w:szCs w:val="28"/>
        </w:rPr>
        <w:t>uition reimbursement for learning that can directly improve</w:t>
      </w:r>
      <w:r w:rsidR="005776F5">
        <w:rPr>
          <w:rFonts w:ascii="Times New Roman" w:eastAsia="Times New Roman" w:hAnsi="Times New Roman" w:cs="Times New Roman"/>
          <w:sz w:val="28"/>
          <w:szCs w:val="28"/>
        </w:rPr>
        <w:t xml:space="preserve"> the job and provides an average of 57 training hours per employee per year. </w:t>
      </w:r>
      <w:r w:rsidR="00512B2D">
        <w:rPr>
          <w:rFonts w:ascii="Times New Roman" w:eastAsia="Times New Roman" w:hAnsi="Times New Roman" w:cs="Times New Roman"/>
          <w:sz w:val="28"/>
          <w:szCs w:val="28"/>
        </w:rPr>
        <w:t>They also provide two development programs: SHINE 1 (for future hotel executives role) and SHINE 2 (for future general manager), which result in 58% and 46% respectively trainees getting promotion</w:t>
      </w:r>
      <w:r w:rsidR="005776F5">
        <w:rPr>
          <w:rFonts w:ascii="Times New Roman" w:eastAsia="Times New Roman" w:hAnsi="Times New Roman" w:cs="Times New Roman"/>
          <w:sz w:val="28"/>
          <w:szCs w:val="28"/>
        </w:rPr>
        <w:t>.</w:t>
      </w:r>
      <w:r w:rsidR="005776F5">
        <w:rPr>
          <w:rFonts w:ascii="Times New Roman" w:eastAsia="Times New Roman" w:hAnsi="Times New Roman" w:cs="Times New Roman"/>
          <w:sz w:val="14"/>
          <w:szCs w:val="14"/>
        </w:rPr>
        <w:t xml:space="preserve"> </w:t>
      </w:r>
      <w:r w:rsidR="00512B2D">
        <w:rPr>
          <w:rFonts w:ascii="Times New Roman" w:eastAsia="Times New Roman" w:hAnsi="Times New Roman" w:cs="Times New Roman"/>
          <w:sz w:val="28"/>
          <w:szCs w:val="28"/>
        </w:rPr>
        <w:t>All team m</w:t>
      </w:r>
      <w:r w:rsidR="005776F5">
        <w:rPr>
          <w:rFonts w:ascii="Times New Roman" w:eastAsia="Times New Roman" w:hAnsi="Times New Roman" w:cs="Times New Roman"/>
          <w:sz w:val="28"/>
          <w:szCs w:val="28"/>
        </w:rPr>
        <w:t>embers</w:t>
      </w:r>
      <w:r w:rsidR="00512B2D">
        <w:rPr>
          <w:rFonts w:ascii="Times New Roman" w:eastAsia="Times New Roman" w:hAnsi="Times New Roman" w:cs="Times New Roman"/>
          <w:sz w:val="28"/>
          <w:szCs w:val="28"/>
        </w:rPr>
        <w:t xml:space="preserve"> worldwide</w:t>
      </w:r>
      <w:r w:rsidR="005776F5">
        <w:rPr>
          <w:rFonts w:ascii="Times New Roman" w:eastAsia="Times New Roman" w:hAnsi="Times New Roman" w:cs="Times New Roman"/>
          <w:sz w:val="28"/>
          <w:szCs w:val="28"/>
        </w:rPr>
        <w:t xml:space="preserve"> are evaluated through the Performance Management Review process </w:t>
      </w:r>
      <w:r w:rsidR="00512B2D">
        <w:rPr>
          <w:rFonts w:ascii="Times New Roman" w:eastAsia="Times New Roman" w:hAnsi="Times New Roman" w:cs="Times New Roman"/>
          <w:sz w:val="28"/>
          <w:szCs w:val="28"/>
        </w:rPr>
        <w:t>concerning all aspects from setting objectives and goals, solving complaints, giving regular feedback to coaching</w:t>
      </w:r>
      <w:r w:rsidR="005776F5">
        <w:rPr>
          <w:rFonts w:ascii="Times New Roman" w:eastAsia="Times New Roman" w:hAnsi="Times New Roman" w:cs="Times New Roman"/>
          <w:sz w:val="28"/>
          <w:szCs w:val="28"/>
        </w:rPr>
        <w:t xml:space="preserve">. </w:t>
      </w:r>
      <w:r w:rsidR="00512B2D">
        <w:rPr>
          <w:rFonts w:ascii="Times New Roman" w:eastAsia="Times New Roman" w:hAnsi="Times New Roman" w:cs="Times New Roman"/>
          <w:sz w:val="28"/>
          <w:szCs w:val="28"/>
        </w:rPr>
        <w:t>All staff</w:t>
      </w:r>
      <w:r w:rsidR="005776F5">
        <w:rPr>
          <w:rFonts w:ascii="Times New Roman" w:eastAsia="Times New Roman" w:hAnsi="Times New Roman" w:cs="Times New Roman"/>
          <w:sz w:val="28"/>
          <w:szCs w:val="28"/>
        </w:rPr>
        <w:t xml:space="preserve"> are</w:t>
      </w:r>
      <w:r w:rsidR="00512B2D">
        <w:rPr>
          <w:rFonts w:ascii="Times New Roman" w:eastAsia="Times New Roman" w:hAnsi="Times New Roman" w:cs="Times New Roman"/>
          <w:sz w:val="28"/>
          <w:szCs w:val="28"/>
        </w:rPr>
        <w:t xml:space="preserve"> also</w:t>
      </w:r>
      <w:r w:rsidR="005776F5">
        <w:rPr>
          <w:rFonts w:ascii="Times New Roman" w:eastAsia="Times New Roman" w:hAnsi="Times New Roman" w:cs="Times New Roman"/>
          <w:sz w:val="28"/>
          <w:szCs w:val="28"/>
        </w:rPr>
        <w:t xml:space="preserve"> required to complete Inclusive &amp; Respectful Workplace curriculum, train on Diversity &amp; Inclusion and Unconscious </w:t>
      </w:r>
      <w:r w:rsidR="00EE4B44">
        <w:rPr>
          <w:rFonts w:ascii="Times New Roman" w:eastAsia="Times New Roman" w:hAnsi="Times New Roman" w:cs="Times New Roman"/>
          <w:sz w:val="28"/>
          <w:szCs w:val="28"/>
        </w:rPr>
        <w:t>Bias, Risks</w:t>
      </w:r>
      <w:r w:rsidR="005776F5">
        <w:rPr>
          <w:rFonts w:ascii="Times New Roman" w:eastAsia="Times New Roman" w:hAnsi="Times New Roman" w:cs="Times New Roman"/>
          <w:sz w:val="28"/>
          <w:szCs w:val="28"/>
        </w:rPr>
        <w:t xml:space="preserve"> of Modern Slavery in </w:t>
      </w:r>
      <w:proofErr w:type="spellStart"/>
      <w:r w:rsidR="005776F5">
        <w:rPr>
          <w:rFonts w:ascii="Times New Roman" w:eastAsia="Times New Roman" w:hAnsi="Times New Roman" w:cs="Times New Roman"/>
          <w:sz w:val="28"/>
          <w:szCs w:val="28"/>
        </w:rPr>
        <w:t>Labour</w:t>
      </w:r>
      <w:proofErr w:type="spellEnd"/>
      <w:r w:rsidR="005776F5">
        <w:rPr>
          <w:rFonts w:ascii="Times New Roman" w:eastAsia="Times New Roman" w:hAnsi="Times New Roman" w:cs="Times New Roman"/>
          <w:sz w:val="28"/>
          <w:szCs w:val="28"/>
        </w:rPr>
        <w:t xml:space="preserve"> Sourcing, International Tourism Partnership’s Human Rights strategy, Forced </w:t>
      </w:r>
      <w:proofErr w:type="spellStart"/>
      <w:r w:rsidR="005776F5">
        <w:rPr>
          <w:rFonts w:ascii="Times New Roman" w:eastAsia="Times New Roman" w:hAnsi="Times New Roman" w:cs="Times New Roman"/>
          <w:sz w:val="28"/>
          <w:szCs w:val="28"/>
        </w:rPr>
        <w:t>Labour</w:t>
      </w:r>
      <w:proofErr w:type="spellEnd"/>
      <w:r w:rsidR="005776F5">
        <w:rPr>
          <w:rFonts w:ascii="Times New Roman" w:eastAsia="Times New Roman" w:hAnsi="Times New Roman" w:cs="Times New Roman"/>
          <w:sz w:val="28"/>
          <w:szCs w:val="28"/>
        </w:rPr>
        <w:t xml:space="preserve"> Principles including the prohibition of forced </w:t>
      </w:r>
      <w:proofErr w:type="spellStart"/>
      <w:r w:rsidR="005776F5">
        <w:rPr>
          <w:rFonts w:ascii="Times New Roman" w:eastAsia="Times New Roman" w:hAnsi="Times New Roman" w:cs="Times New Roman"/>
          <w:sz w:val="28"/>
          <w:szCs w:val="28"/>
        </w:rPr>
        <w:t>labour</w:t>
      </w:r>
      <w:proofErr w:type="spellEnd"/>
      <w:r w:rsidR="005776F5">
        <w:rPr>
          <w:rFonts w:ascii="Times New Roman" w:eastAsia="Times New Roman" w:hAnsi="Times New Roman" w:cs="Times New Roman"/>
          <w:sz w:val="28"/>
          <w:szCs w:val="28"/>
        </w:rPr>
        <w:t xml:space="preserve">, bonded </w:t>
      </w:r>
      <w:proofErr w:type="spellStart"/>
      <w:r w:rsidR="005776F5">
        <w:rPr>
          <w:rFonts w:ascii="Times New Roman" w:eastAsia="Times New Roman" w:hAnsi="Times New Roman" w:cs="Times New Roman"/>
          <w:sz w:val="28"/>
          <w:szCs w:val="28"/>
        </w:rPr>
        <w:t>labour</w:t>
      </w:r>
      <w:proofErr w:type="spellEnd"/>
      <w:r w:rsidR="005776F5">
        <w:rPr>
          <w:rFonts w:ascii="Times New Roman" w:eastAsia="Times New Roman" w:hAnsi="Times New Roman" w:cs="Times New Roman"/>
          <w:sz w:val="28"/>
          <w:szCs w:val="28"/>
        </w:rPr>
        <w:t xml:space="preserve">, child </w:t>
      </w:r>
      <w:proofErr w:type="spellStart"/>
      <w:r w:rsidR="005776F5">
        <w:rPr>
          <w:rFonts w:ascii="Times New Roman" w:eastAsia="Times New Roman" w:hAnsi="Times New Roman" w:cs="Times New Roman"/>
          <w:sz w:val="28"/>
          <w:szCs w:val="28"/>
        </w:rPr>
        <w:t>labour</w:t>
      </w:r>
      <w:proofErr w:type="spellEnd"/>
      <w:r w:rsidR="005776F5">
        <w:rPr>
          <w:rFonts w:ascii="Times New Roman" w:eastAsia="Times New Roman" w:hAnsi="Times New Roman" w:cs="Times New Roman"/>
          <w:sz w:val="28"/>
          <w:szCs w:val="28"/>
        </w:rPr>
        <w:t xml:space="preserve">, slave </w:t>
      </w:r>
      <w:proofErr w:type="spellStart"/>
      <w:r w:rsidR="005776F5">
        <w:rPr>
          <w:rFonts w:ascii="Times New Roman" w:eastAsia="Times New Roman" w:hAnsi="Times New Roman" w:cs="Times New Roman"/>
          <w:sz w:val="28"/>
          <w:szCs w:val="28"/>
        </w:rPr>
        <w:t>labour</w:t>
      </w:r>
      <w:proofErr w:type="spellEnd"/>
      <w:r w:rsidR="005776F5">
        <w:rPr>
          <w:rFonts w:ascii="Times New Roman" w:eastAsia="Times New Roman" w:hAnsi="Times New Roman" w:cs="Times New Roman"/>
          <w:sz w:val="28"/>
          <w:szCs w:val="28"/>
        </w:rPr>
        <w:t xml:space="preserve">, Code of Conduct, Responsible Sourcing </w:t>
      </w:r>
      <w:r w:rsidR="005514C9">
        <w:rPr>
          <w:rFonts w:ascii="Times New Roman" w:eastAsia="Times New Roman" w:hAnsi="Times New Roman" w:cs="Times New Roman"/>
          <w:sz w:val="28"/>
          <w:szCs w:val="28"/>
        </w:rPr>
        <w:t>Policy, Global</w:t>
      </w:r>
      <w:r w:rsidR="005776F5">
        <w:rPr>
          <w:rFonts w:ascii="Times New Roman" w:eastAsia="Times New Roman" w:hAnsi="Times New Roman" w:cs="Times New Roman"/>
          <w:sz w:val="28"/>
          <w:szCs w:val="28"/>
        </w:rPr>
        <w:t xml:space="preserve"> Privacy Statement and participate in voluntary annually. </w:t>
      </w:r>
    </w:p>
    <w:p w14:paraId="00000031" w14:textId="77777777" w:rsidR="005901A6" w:rsidRDefault="005776F5" w:rsidP="00B15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5C36695" w14:textId="04D1B6AB" w:rsidR="00EE4B44" w:rsidRPr="006943E2" w:rsidRDefault="00EE4B44" w:rsidP="006943E2">
      <w:pPr>
        <w:pStyle w:val="ListParagraph"/>
        <w:numPr>
          <w:ilvl w:val="1"/>
          <w:numId w:val="1"/>
        </w:numPr>
        <w:jc w:val="both"/>
        <w:rPr>
          <w:rFonts w:ascii="Times New Roman" w:eastAsia="Times New Roman" w:hAnsi="Times New Roman" w:cs="Times New Roman"/>
          <w:sz w:val="28"/>
          <w:szCs w:val="28"/>
        </w:rPr>
      </w:pPr>
      <w:r w:rsidRPr="006943E2">
        <w:rPr>
          <w:rFonts w:ascii="Times New Roman" w:eastAsia="Times New Roman" w:hAnsi="Times New Roman" w:cs="Times New Roman"/>
          <w:sz w:val="28"/>
          <w:szCs w:val="28"/>
        </w:rPr>
        <w:t>Areas of sustainability that were not implemented</w:t>
      </w:r>
    </w:p>
    <w:p w14:paraId="0C6DA79A" w14:textId="77777777" w:rsidR="00EE4B44" w:rsidRDefault="00EE4B44" w:rsidP="00B154BB">
      <w:pPr>
        <w:jc w:val="both"/>
        <w:rPr>
          <w:rFonts w:ascii="Times New Roman" w:eastAsia="Times New Roman" w:hAnsi="Times New Roman" w:cs="Times New Roman"/>
          <w:color w:val="343A40"/>
          <w:sz w:val="28"/>
          <w:szCs w:val="28"/>
        </w:rPr>
      </w:pPr>
    </w:p>
    <w:p w14:paraId="00000033" w14:textId="01616290" w:rsidR="005901A6" w:rsidRDefault="005776F5" w:rsidP="00B15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Besides these sustainable practices, there are some areas in the GRI guideline that the Hilton Group is missing. For biodiversity, they mentioned several activities, but there is no measurement or results provided. This also applies for supplier environmental assessment, labor and management relations, occupational health and safety. Besides, rights of indigenous people, supplier social assessment, public policy, customer health and safety, marketing and labeling and socioeconomic compliance were not mentioned at all. The </w:t>
      </w:r>
      <w:r>
        <w:rPr>
          <w:rFonts w:ascii="Times New Roman" w:eastAsia="Times New Roman" w:hAnsi="Times New Roman" w:cs="Times New Roman"/>
          <w:sz w:val="28"/>
          <w:szCs w:val="28"/>
        </w:rPr>
        <w:lastRenderedPageBreak/>
        <w:t xml:space="preserve">sustainability practices are implemented partly to serve the hotel’s stakeholders. The problem of some areas of sustainability not being implemented can be due to a different understanding of </w:t>
      </w:r>
      <w:r w:rsidR="001B2995">
        <w:rPr>
          <w:rFonts w:ascii="Times New Roman" w:eastAsia="Times New Roman" w:hAnsi="Times New Roman" w:cs="Times New Roman"/>
          <w:sz w:val="28"/>
          <w:szCs w:val="28"/>
        </w:rPr>
        <w:t>who the stakeholders may be</w:t>
      </w:r>
      <w:r w:rsidR="005469A5">
        <w:rPr>
          <w:rFonts w:ascii="Times New Roman" w:eastAsia="Times New Roman" w:hAnsi="Times New Roman" w:cs="Times New Roman"/>
          <w:sz w:val="28"/>
          <w:szCs w:val="28"/>
        </w:rPr>
        <w:t xml:space="preserve"> or how they prioritized the stakeholders</w:t>
      </w:r>
      <w:r w:rsidR="001B2995">
        <w:rPr>
          <w:rFonts w:ascii="Times New Roman" w:eastAsia="Times New Roman" w:hAnsi="Times New Roman" w:cs="Times New Roman"/>
          <w:sz w:val="28"/>
          <w:szCs w:val="28"/>
        </w:rPr>
        <w:t xml:space="preserve"> (</w:t>
      </w:r>
      <w:proofErr w:type="spellStart"/>
      <w:r w:rsidR="001B2995">
        <w:rPr>
          <w:rFonts w:ascii="Times New Roman" w:eastAsia="Times New Roman" w:hAnsi="Times New Roman" w:cs="Times New Roman"/>
          <w:sz w:val="28"/>
          <w:szCs w:val="28"/>
        </w:rPr>
        <w:t>Gui</w:t>
      </w:r>
      <w:r>
        <w:rPr>
          <w:rFonts w:ascii="Times New Roman" w:eastAsia="Times New Roman" w:hAnsi="Times New Roman" w:cs="Times New Roman"/>
          <w:sz w:val="28"/>
          <w:szCs w:val="28"/>
        </w:rPr>
        <w:t>x</w:t>
      </w:r>
      <w:proofErr w:type="spellEnd"/>
      <w:r>
        <w:rPr>
          <w:rFonts w:ascii="Times New Roman" w:eastAsia="Times New Roman" w:hAnsi="Times New Roman" w:cs="Times New Roman"/>
          <w:sz w:val="28"/>
          <w:szCs w:val="28"/>
        </w:rPr>
        <w:t>, Bonilla-</w:t>
      </w:r>
      <w:proofErr w:type="spellStart"/>
      <w:r>
        <w:rPr>
          <w:rFonts w:ascii="Times New Roman" w:eastAsia="Times New Roman" w:hAnsi="Times New Roman" w:cs="Times New Roman"/>
          <w:sz w:val="28"/>
          <w:szCs w:val="28"/>
        </w:rPr>
        <w:t>Priego</w:t>
      </w:r>
      <w:proofErr w:type="spellEnd"/>
      <w:r>
        <w:rPr>
          <w:rFonts w:ascii="Times New Roman" w:eastAsia="Times New Roman" w:hAnsi="Times New Roman" w:cs="Times New Roman"/>
          <w:sz w:val="28"/>
          <w:szCs w:val="28"/>
        </w:rPr>
        <w:t xml:space="preserve"> and Font, 2017).</w:t>
      </w:r>
      <w:r w:rsidR="00DF0B0E">
        <w:rPr>
          <w:rFonts w:ascii="Times New Roman" w:eastAsia="Times New Roman" w:hAnsi="Times New Roman" w:cs="Times New Roman"/>
          <w:sz w:val="28"/>
          <w:szCs w:val="28"/>
        </w:rPr>
        <w:t xml:space="preserve"> Therefore, for example, if the Hilton does not consider political union or parties to be their stakeholders, they might not implement actions on public policy.</w:t>
      </w:r>
      <w:r w:rsidR="005469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Another example can be that the Hilton prioritized customer and employee social assessment, therefore they have not had any supplier social assessment in place yet.</w:t>
      </w:r>
    </w:p>
    <w:p w14:paraId="00000034" w14:textId="77777777" w:rsidR="005901A6" w:rsidRDefault="005901A6" w:rsidP="00B154BB">
      <w:pPr>
        <w:jc w:val="both"/>
        <w:rPr>
          <w:rFonts w:ascii="Times New Roman" w:eastAsia="Times New Roman" w:hAnsi="Times New Roman" w:cs="Times New Roman"/>
          <w:sz w:val="28"/>
          <w:szCs w:val="28"/>
        </w:rPr>
      </w:pPr>
    </w:p>
    <w:p w14:paraId="00000035" w14:textId="77ECE341" w:rsidR="005901A6" w:rsidRPr="006943E2" w:rsidRDefault="00EE4B44" w:rsidP="006943E2">
      <w:pPr>
        <w:pStyle w:val="ListParagraph"/>
        <w:numPr>
          <w:ilvl w:val="1"/>
          <w:numId w:val="1"/>
        </w:numPr>
        <w:shd w:val="clear" w:color="auto" w:fill="FFFFFF"/>
        <w:spacing w:after="240"/>
        <w:jc w:val="both"/>
        <w:rPr>
          <w:rFonts w:ascii="Times New Roman" w:eastAsia="Times New Roman" w:hAnsi="Times New Roman" w:cs="Times New Roman"/>
          <w:color w:val="343A40"/>
          <w:sz w:val="28"/>
          <w:szCs w:val="28"/>
          <w:highlight w:val="white"/>
        </w:rPr>
      </w:pPr>
      <w:r w:rsidRPr="006943E2">
        <w:rPr>
          <w:rFonts w:ascii="Times New Roman" w:eastAsia="Times New Roman" w:hAnsi="Times New Roman" w:cs="Times New Roman"/>
          <w:color w:val="343A40"/>
          <w:sz w:val="28"/>
          <w:szCs w:val="28"/>
          <w:highlight w:val="white"/>
        </w:rPr>
        <w:t>Impacts</w:t>
      </w:r>
      <w:r w:rsidR="005514C9" w:rsidRPr="006943E2">
        <w:rPr>
          <w:rFonts w:ascii="Times New Roman" w:eastAsia="Times New Roman" w:hAnsi="Times New Roman" w:cs="Times New Roman"/>
          <w:color w:val="343A40"/>
          <w:sz w:val="28"/>
          <w:szCs w:val="28"/>
          <w:highlight w:val="white"/>
        </w:rPr>
        <w:t xml:space="preserve"> of the sustainable practices</w:t>
      </w:r>
      <w:r w:rsidRPr="006943E2">
        <w:rPr>
          <w:rFonts w:ascii="Times New Roman" w:eastAsia="Times New Roman" w:hAnsi="Times New Roman" w:cs="Times New Roman"/>
          <w:color w:val="343A40"/>
          <w:sz w:val="28"/>
          <w:szCs w:val="28"/>
          <w:highlight w:val="white"/>
        </w:rPr>
        <w:t xml:space="preserve"> evaluation</w:t>
      </w:r>
    </w:p>
    <w:p w14:paraId="00000036" w14:textId="77777777" w:rsidR="005901A6" w:rsidRDefault="005776F5" w:rsidP="00B15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From my point of view, their sustainable practices have a positive impact on the stakeholders. The Hilton Group was able to cover a large number of criteria according to the GRI and show great results. They do not only focus on the environmental practices but also the social aspect, which is a very important element. Without the social sustainable practices, the Hilton Group’s sustainability activities will be greenwashing and considered to take advantage of sustainability for marketing purposes. However, as Hilton is a large hotel chain with thousands of properties both owned and franchised, their business leaves an enormous impact on the stakeholders; therefore, they can contribute more to the society and environment. As proven, there are still some GRI criteria that have not been fulfilled yet by the Hilton, they can deepen their existing practices and develop more initiatives towards the missing aspects like biodiversity, customer health and safety or marketing and labelling.</w:t>
      </w:r>
    </w:p>
    <w:p w14:paraId="00000037" w14:textId="77777777" w:rsidR="005901A6" w:rsidRDefault="005901A6" w:rsidP="00B154BB">
      <w:pPr>
        <w:jc w:val="both"/>
        <w:rPr>
          <w:rFonts w:ascii="Times New Roman" w:eastAsia="Times New Roman" w:hAnsi="Times New Roman" w:cs="Times New Roman"/>
          <w:sz w:val="28"/>
          <w:szCs w:val="28"/>
        </w:rPr>
      </w:pPr>
    </w:p>
    <w:p w14:paraId="00000038" w14:textId="22D5D525" w:rsidR="005901A6" w:rsidRPr="006943E2" w:rsidRDefault="00EE4B44" w:rsidP="006943E2">
      <w:pPr>
        <w:pStyle w:val="ListParagraph"/>
        <w:numPr>
          <w:ilvl w:val="1"/>
          <w:numId w:val="1"/>
        </w:numPr>
        <w:shd w:val="clear" w:color="auto" w:fill="FFFFFF"/>
        <w:spacing w:after="240"/>
        <w:jc w:val="both"/>
        <w:rPr>
          <w:rFonts w:ascii="Times New Roman" w:eastAsia="Times New Roman" w:hAnsi="Times New Roman" w:cs="Times New Roman"/>
          <w:color w:val="343A40"/>
          <w:sz w:val="28"/>
          <w:szCs w:val="28"/>
          <w:highlight w:val="white"/>
        </w:rPr>
      </w:pPr>
      <w:r w:rsidRPr="006943E2">
        <w:rPr>
          <w:rFonts w:ascii="Times New Roman" w:eastAsia="Times New Roman" w:hAnsi="Times New Roman" w:cs="Times New Roman"/>
          <w:color w:val="343A40"/>
          <w:sz w:val="28"/>
          <w:szCs w:val="28"/>
          <w:highlight w:val="white"/>
        </w:rPr>
        <w:t>Sustainable framework the report used evaluation</w:t>
      </w:r>
    </w:p>
    <w:p w14:paraId="6844B3DF" w14:textId="63D82F2E" w:rsidR="007233C9" w:rsidRPr="007233C9" w:rsidRDefault="007233C9" w:rsidP="007233C9">
      <w:pPr>
        <w:jc w:val="both"/>
        <w:rPr>
          <w:rFonts w:ascii="Times New Roman" w:eastAsia="Times New Roman" w:hAnsi="Times New Roman" w:cs="Times New Roman"/>
          <w:sz w:val="28"/>
          <w:szCs w:val="28"/>
        </w:rPr>
      </w:pPr>
      <w:r w:rsidRPr="007233C9">
        <w:rPr>
          <w:rFonts w:ascii="Times New Roman" w:eastAsia="Times New Roman" w:hAnsi="Times New Roman" w:cs="Times New Roman"/>
          <w:sz w:val="28"/>
          <w:szCs w:val="28"/>
        </w:rPr>
        <w:t>The practices of the Hilton Group were mainly based on the Sustainable Development Goals from the United Nation. Moreover, the Hilton also assessed themselves based on the GRI. This double assessment proves the well-rounded and thorough of the Hilton’s sustainability report</w:t>
      </w:r>
      <w:r w:rsidR="00681441">
        <w:rPr>
          <w:rFonts w:ascii="Times New Roman" w:eastAsia="Times New Roman" w:hAnsi="Times New Roman" w:cs="Times New Roman"/>
          <w:sz w:val="28"/>
          <w:szCs w:val="28"/>
        </w:rPr>
        <w:t xml:space="preserve"> (Hahn and </w:t>
      </w:r>
      <w:proofErr w:type="spellStart"/>
      <w:r w:rsidR="00681441">
        <w:rPr>
          <w:rFonts w:ascii="Times New Roman" w:eastAsia="Times New Roman" w:hAnsi="Times New Roman" w:cs="Times New Roman"/>
          <w:sz w:val="28"/>
          <w:szCs w:val="28"/>
        </w:rPr>
        <w:t>Kuhnen</w:t>
      </w:r>
      <w:proofErr w:type="spellEnd"/>
      <w:r w:rsidR="00681441">
        <w:rPr>
          <w:rFonts w:ascii="Times New Roman" w:eastAsia="Times New Roman" w:hAnsi="Times New Roman" w:cs="Times New Roman"/>
          <w:sz w:val="28"/>
          <w:szCs w:val="28"/>
        </w:rPr>
        <w:t>, 2013)</w:t>
      </w:r>
      <w:r w:rsidRPr="007233C9">
        <w:rPr>
          <w:rFonts w:ascii="Times New Roman" w:eastAsia="Times New Roman" w:hAnsi="Times New Roman" w:cs="Times New Roman"/>
          <w:sz w:val="28"/>
          <w:szCs w:val="28"/>
        </w:rPr>
        <w:t xml:space="preserve">. Along with the detailed information and statistics on the sustainable actions and results, the report also includes the level of progress towards the goals in 2030 for each of the practices, which helps to prove their activities and increase trust for their audiences. The sustainability report’s data also had been inspected and audited independently by </w:t>
      </w:r>
      <w:proofErr w:type="spellStart"/>
      <w:r w:rsidRPr="007233C9">
        <w:rPr>
          <w:rFonts w:ascii="Times New Roman" w:eastAsia="Times New Roman" w:hAnsi="Times New Roman" w:cs="Times New Roman"/>
          <w:sz w:val="28"/>
          <w:szCs w:val="28"/>
        </w:rPr>
        <w:t>Dekra</w:t>
      </w:r>
      <w:proofErr w:type="spellEnd"/>
      <w:r w:rsidRPr="007233C9">
        <w:rPr>
          <w:rFonts w:ascii="Times New Roman" w:eastAsia="Times New Roman" w:hAnsi="Times New Roman" w:cs="Times New Roman"/>
          <w:sz w:val="28"/>
          <w:szCs w:val="28"/>
        </w:rPr>
        <w:t xml:space="preserve"> Certification. In addition, the report starts with five clear goals and the Hilton manages to implement a variety of sustainable </w:t>
      </w:r>
      <w:r w:rsidRPr="007233C9">
        <w:rPr>
          <w:rFonts w:ascii="Times New Roman" w:eastAsia="Times New Roman" w:hAnsi="Times New Roman" w:cs="Times New Roman"/>
          <w:sz w:val="28"/>
          <w:szCs w:val="28"/>
        </w:rPr>
        <w:lastRenderedPageBreak/>
        <w:t>practices towards them. However, the Hilton’s report can improve further by being more consistent. For instance, one of the goals they mentioned in the beginning is to respect destinations by preserving local cultural and natural heritage; however, there is little practice mentioned to achieve this target. As an international hospitality enterprise, it is vital that the Hilton emphasize this aspect more profoundly.  Another example is that they can focus more on biodiversity actions and provide measurement and results for this category. Hotels building will kill a lot of organism and lives, the least thing a large hotel corporation can do is to protect the surrounding biodiversity.</w:t>
      </w:r>
    </w:p>
    <w:p w14:paraId="0000003E" w14:textId="77777777" w:rsidR="005901A6" w:rsidRDefault="005901A6" w:rsidP="00B154BB">
      <w:pPr>
        <w:jc w:val="both"/>
        <w:rPr>
          <w:rFonts w:ascii="Times New Roman" w:eastAsia="Times New Roman" w:hAnsi="Times New Roman" w:cs="Times New Roman"/>
          <w:sz w:val="28"/>
          <w:szCs w:val="28"/>
        </w:rPr>
      </w:pPr>
    </w:p>
    <w:p w14:paraId="0000003F" w14:textId="77777777" w:rsidR="005901A6" w:rsidRDefault="005776F5" w:rsidP="00B154BB">
      <w:pPr>
        <w:pStyle w:val="Heading2"/>
        <w:shd w:val="clear" w:color="auto" w:fill="FFFFFF"/>
        <w:spacing w:after="240"/>
        <w:jc w:val="both"/>
        <w:rPr>
          <w:rFonts w:ascii="Times New Roman" w:eastAsia="Times New Roman" w:hAnsi="Times New Roman" w:cs="Times New Roman"/>
          <w:b/>
        </w:rPr>
      </w:pPr>
      <w:bookmarkStart w:id="8" w:name="_bxhdslrfhilj" w:colFirst="0" w:colLast="0"/>
      <w:bookmarkEnd w:id="8"/>
      <w:r>
        <w:rPr>
          <w:rFonts w:ascii="Times New Roman" w:eastAsia="Times New Roman" w:hAnsi="Times New Roman" w:cs="Times New Roman"/>
          <w:b/>
        </w:rPr>
        <w:t>Conclusion</w:t>
      </w:r>
    </w:p>
    <w:p w14:paraId="00000040" w14:textId="3AFA3664" w:rsidR="005901A6" w:rsidRDefault="00B154BB" w:rsidP="00B154BB">
      <w:pPr>
        <w:shd w:val="clear" w:color="auto" w:fill="FFFFFF"/>
        <w:spacing w:after="240"/>
        <w:jc w:val="both"/>
        <w:rPr>
          <w:rFonts w:ascii="Times New Roman" w:eastAsia="Times New Roman" w:hAnsi="Times New Roman" w:cs="Times New Roman"/>
          <w:color w:val="343A40"/>
          <w:sz w:val="28"/>
          <w:szCs w:val="28"/>
          <w:highlight w:val="white"/>
        </w:rPr>
      </w:pPr>
      <w:r>
        <w:rPr>
          <w:rFonts w:ascii="Times New Roman" w:eastAsia="Times New Roman" w:hAnsi="Times New Roman" w:cs="Times New Roman"/>
          <w:color w:val="343A40"/>
          <w:sz w:val="28"/>
          <w:szCs w:val="28"/>
          <w:highlight w:val="white"/>
        </w:rPr>
        <w:t xml:space="preserve">To sum up, the Hilton hotel chain </w:t>
      </w:r>
      <w:r w:rsidR="005776F5">
        <w:rPr>
          <w:rFonts w:ascii="Times New Roman" w:eastAsia="Times New Roman" w:hAnsi="Times New Roman" w:cs="Times New Roman"/>
          <w:color w:val="343A40"/>
          <w:sz w:val="28"/>
          <w:szCs w:val="28"/>
          <w:highlight w:val="white"/>
        </w:rPr>
        <w:t xml:space="preserve">has been able to implement a wide range of sustainable activities that cover both environmental and social aspects. These practices are then reported in details, given the statistics and results, which gives the report a high level of credibility. Even though there are still some improvements to be made, the effort of sustainability of the Hilton hotel should be recognized. </w:t>
      </w:r>
    </w:p>
    <w:p w14:paraId="00000041" w14:textId="77777777" w:rsidR="005901A6" w:rsidRDefault="005776F5" w:rsidP="00B154BB">
      <w:pPr>
        <w:pStyle w:val="Heading2"/>
        <w:shd w:val="clear" w:color="auto" w:fill="FFFFFF"/>
        <w:spacing w:after="240"/>
        <w:jc w:val="both"/>
        <w:rPr>
          <w:rFonts w:ascii="Times New Roman" w:eastAsia="Times New Roman" w:hAnsi="Times New Roman" w:cs="Times New Roman"/>
          <w:b/>
        </w:rPr>
      </w:pPr>
      <w:bookmarkStart w:id="9" w:name="_cdlwm5w8lo4o" w:colFirst="0" w:colLast="0"/>
      <w:bookmarkEnd w:id="9"/>
      <w:r>
        <w:rPr>
          <w:rFonts w:ascii="Times New Roman" w:eastAsia="Times New Roman" w:hAnsi="Times New Roman" w:cs="Times New Roman"/>
          <w:b/>
        </w:rPr>
        <w:t>References</w:t>
      </w:r>
    </w:p>
    <w:p w14:paraId="00000042" w14:textId="77777777" w:rsidR="005901A6" w:rsidRDefault="005776F5" w:rsidP="00B154BB">
      <w:pPr>
        <w:jc w:val="both"/>
        <w:rPr>
          <w:rFonts w:ascii="Times New Roman" w:eastAsia="Times New Roman" w:hAnsi="Times New Roman" w:cs="Times New Roman"/>
          <w:color w:val="343A40"/>
          <w:sz w:val="28"/>
          <w:szCs w:val="28"/>
          <w:highlight w:val="white"/>
        </w:rPr>
      </w:pPr>
      <w:r>
        <w:rPr>
          <w:rFonts w:ascii="Times New Roman" w:eastAsia="Times New Roman" w:hAnsi="Times New Roman" w:cs="Times New Roman"/>
          <w:color w:val="343A40"/>
          <w:sz w:val="28"/>
          <w:szCs w:val="28"/>
          <w:highlight w:val="white"/>
        </w:rPr>
        <w:t xml:space="preserve">Bansal, P., &amp; </w:t>
      </w:r>
      <w:proofErr w:type="spellStart"/>
      <w:r>
        <w:rPr>
          <w:rFonts w:ascii="Times New Roman" w:eastAsia="Times New Roman" w:hAnsi="Times New Roman" w:cs="Times New Roman"/>
          <w:color w:val="343A40"/>
          <w:sz w:val="28"/>
          <w:szCs w:val="28"/>
          <w:highlight w:val="white"/>
        </w:rPr>
        <w:t>DesJardine</w:t>
      </w:r>
      <w:proofErr w:type="spellEnd"/>
      <w:r>
        <w:rPr>
          <w:rFonts w:ascii="Times New Roman" w:eastAsia="Times New Roman" w:hAnsi="Times New Roman" w:cs="Times New Roman"/>
          <w:color w:val="343A40"/>
          <w:sz w:val="28"/>
          <w:szCs w:val="28"/>
          <w:highlight w:val="white"/>
        </w:rPr>
        <w:t xml:space="preserve">, M. (2014). Business sustainability: It is about time - Pratima Bansal, Mark R. </w:t>
      </w:r>
      <w:proofErr w:type="spellStart"/>
      <w:r>
        <w:rPr>
          <w:rFonts w:ascii="Times New Roman" w:eastAsia="Times New Roman" w:hAnsi="Times New Roman" w:cs="Times New Roman"/>
          <w:color w:val="343A40"/>
          <w:sz w:val="28"/>
          <w:szCs w:val="28"/>
          <w:highlight w:val="white"/>
        </w:rPr>
        <w:t>DesJardine</w:t>
      </w:r>
      <w:proofErr w:type="spellEnd"/>
      <w:r>
        <w:rPr>
          <w:rFonts w:ascii="Times New Roman" w:eastAsia="Times New Roman" w:hAnsi="Times New Roman" w:cs="Times New Roman"/>
          <w:color w:val="343A40"/>
          <w:sz w:val="28"/>
          <w:szCs w:val="28"/>
          <w:highlight w:val="white"/>
        </w:rPr>
        <w:t xml:space="preserve">, 2014. Retrieved from </w:t>
      </w:r>
      <w:hyperlink r:id="rId6">
        <w:r>
          <w:rPr>
            <w:rFonts w:ascii="Times New Roman" w:eastAsia="Times New Roman" w:hAnsi="Times New Roman" w:cs="Times New Roman"/>
            <w:color w:val="343A40"/>
            <w:sz w:val="28"/>
            <w:szCs w:val="28"/>
            <w:highlight w:val="white"/>
          </w:rPr>
          <w:t>https://journals.sagepub.com/doi/full/10.1177/1476127013520265</w:t>
        </w:r>
      </w:hyperlink>
    </w:p>
    <w:p w14:paraId="00000043" w14:textId="77777777" w:rsidR="005901A6" w:rsidRDefault="005901A6" w:rsidP="00B154BB">
      <w:pPr>
        <w:jc w:val="both"/>
        <w:rPr>
          <w:rFonts w:ascii="Times New Roman" w:eastAsia="Times New Roman" w:hAnsi="Times New Roman" w:cs="Times New Roman"/>
          <w:color w:val="343A40"/>
          <w:sz w:val="28"/>
          <w:szCs w:val="28"/>
          <w:highlight w:val="white"/>
        </w:rPr>
      </w:pPr>
    </w:p>
    <w:p w14:paraId="00000044" w14:textId="77777777" w:rsidR="005901A6" w:rsidRDefault="005776F5" w:rsidP="00B154BB">
      <w:pPr>
        <w:jc w:val="both"/>
        <w:rPr>
          <w:rFonts w:ascii="Times New Roman" w:eastAsia="Times New Roman" w:hAnsi="Times New Roman" w:cs="Times New Roman"/>
          <w:color w:val="343A40"/>
          <w:sz w:val="28"/>
          <w:szCs w:val="28"/>
          <w:highlight w:val="white"/>
        </w:rPr>
      </w:pPr>
      <w:r>
        <w:rPr>
          <w:rFonts w:ascii="Times New Roman" w:eastAsia="Times New Roman" w:hAnsi="Times New Roman" w:cs="Times New Roman"/>
          <w:color w:val="343A40"/>
          <w:sz w:val="28"/>
          <w:szCs w:val="28"/>
          <w:highlight w:val="white"/>
        </w:rPr>
        <w:t>Brundtland, G. H. (1987). Our common future: Report of the 1987 world commission on environment and development. United Nations, Oslo, 1–59</w:t>
      </w:r>
    </w:p>
    <w:p w14:paraId="00000045" w14:textId="77777777" w:rsidR="005901A6" w:rsidRDefault="005901A6" w:rsidP="00B154BB">
      <w:pPr>
        <w:jc w:val="both"/>
        <w:rPr>
          <w:rFonts w:ascii="Times New Roman" w:eastAsia="Times New Roman" w:hAnsi="Times New Roman" w:cs="Times New Roman"/>
          <w:color w:val="343A40"/>
          <w:sz w:val="28"/>
          <w:szCs w:val="28"/>
          <w:highlight w:val="white"/>
        </w:rPr>
      </w:pPr>
    </w:p>
    <w:p w14:paraId="00000046" w14:textId="77777777" w:rsidR="005901A6" w:rsidRDefault="005776F5" w:rsidP="00B154BB">
      <w:pPr>
        <w:jc w:val="both"/>
        <w:rPr>
          <w:rFonts w:ascii="Times New Roman" w:eastAsia="Times New Roman" w:hAnsi="Times New Roman" w:cs="Times New Roman"/>
          <w:color w:val="343A40"/>
          <w:sz w:val="28"/>
          <w:szCs w:val="28"/>
          <w:highlight w:val="white"/>
        </w:rPr>
      </w:pPr>
      <w:r>
        <w:rPr>
          <w:rFonts w:ascii="Times New Roman" w:eastAsia="Times New Roman" w:hAnsi="Times New Roman" w:cs="Times New Roman"/>
          <w:color w:val="343A40"/>
          <w:sz w:val="28"/>
          <w:szCs w:val="28"/>
          <w:highlight w:val="white"/>
        </w:rPr>
        <w:t xml:space="preserve">Carrots, Sticks (2013). Promoting transparency and sustainability: an update on trends in voluntary and mandatory approaches to sustainability reporting. Retrieved from </w:t>
      </w:r>
      <w:hyperlink r:id="rId7">
        <w:r>
          <w:rPr>
            <w:rFonts w:ascii="Times New Roman" w:eastAsia="Times New Roman" w:hAnsi="Times New Roman" w:cs="Times New Roman"/>
            <w:color w:val="343A40"/>
            <w:sz w:val="28"/>
            <w:szCs w:val="28"/>
            <w:highlight w:val="white"/>
          </w:rPr>
          <w:t>www.globalreporting.org/resourcelibrary/carrots-and-sticks.pdf</w:t>
        </w:r>
      </w:hyperlink>
    </w:p>
    <w:p w14:paraId="00000047" w14:textId="77777777" w:rsidR="005901A6" w:rsidRDefault="005901A6" w:rsidP="00B154BB">
      <w:pPr>
        <w:jc w:val="both"/>
        <w:rPr>
          <w:rFonts w:ascii="Times New Roman" w:eastAsia="Times New Roman" w:hAnsi="Times New Roman" w:cs="Times New Roman"/>
          <w:color w:val="343A40"/>
          <w:sz w:val="28"/>
          <w:szCs w:val="28"/>
          <w:highlight w:val="white"/>
        </w:rPr>
      </w:pPr>
    </w:p>
    <w:p w14:paraId="00000048" w14:textId="77777777" w:rsidR="005901A6" w:rsidRDefault="005776F5" w:rsidP="00B154BB">
      <w:pPr>
        <w:jc w:val="both"/>
        <w:rPr>
          <w:rFonts w:ascii="Times New Roman" w:eastAsia="Times New Roman" w:hAnsi="Times New Roman" w:cs="Times New Roman"/>
          <w:color w:val="343A40"/>
          <w:sz w:val="28"/>
          <w:szCs w:val="28"/>
          <w:highlight w:val="white"/>
        </w:rPr>
      </w:pPr>
      <w:r>
        <w:rPr>
          <w:rFonts w:ascii="Times New Roman" w:eastAsia="Times New Roman" w:hAnsi="Times New Roman" w:cs="Times New Roman"/>
          <w:color w:val="343A40"/>
          <w:sz w:val="28"/>
          <w:szCs w:val="28"/>
          <w:highlight w:val="white"/>
        </w:rPr>
        <w:t xml:space="preserve">de </w:t>
      </w:r>
      <w:proofErr w:type="spellStart"/>
      <w:r>
        <w:rPr>
          <w:rFonts w:ascii="Times New Roman" w:eastAsia="Times New Roman" w:hAnsi="Times New Roman" w:cs="Times New Roman"/>
          <w:color w:val="343A40"/>
          <w:sz w:val="28"/>
          <w:szCs w:val="28"/>
          <w:highlight w:val="white"/>
        </w:rPr>
        <w:t>Grosbois</w:t>
      </w:r>
      <w:proofErr w:type="spellEnd"/>
      <w:r>
        <w:rPr>
          <w:rFonts w:ascii="Times New Roman" w:eastAsia="Times New Roman" w:hAnsi="Times New Roman" w:cs="Times New Roman"/>
          <w:color w:val="343A40"/>
          <w:sz w:val="28"/>
          <w:szCs w:val="28"/>
          <w:highlight w:val="white"/>
        </w:rPr>
        <w:t>, D. (2012). Corporate social responsibility reporting by the global hotel industry: commitment, initiatives and performance. International Journal of Hospitality Management 31(3): 896–905.</w:t>
      </w:r>
    </w:p>
    <w:p w14:paraId="00000049" w14:textId="77777777" w:rsidR="005901A6" w:rsidRDefault="005901A6" w:rsidP="00B154BB">
      <w:pPr>
        <w:jc w:val="both"/>
        <w:rPr>
          <w:rFonts w:ascii="Times New Roman" w:eastAsia="Times New Roman" w:hAnsi="Times New Roman" w:cs="Times New Roman"/>
          <w:color w:val="343A40"/>
          <w:sz w:val="28"/>
          <w:szCs w:val="28"/>
          <w:highlight w:val="white"/>
        </w:rPr>
      </w:pPr>
    </w:p>
    <w:p w14:paraId="4F2694F5" w14:textId="162D549F" w:rsidR="001B2995" w:rsidRPr="001B2995" w:rsidRDefault="001B2995" w:rsidP="00B154BB">
      <w:pPr>
        <w:spacing w:line="240" w:lineRule="auto"/>
        <w:jc w:val="both"/>
        <w:rPr>
          <w:rFonts w:ascii="Times New Roman" w:eastAsia="Times New Roman" w:hAnsi="Times New Roman" w:cs="Times New Roman"/>
          <w:color w:val="343A40"/>
          <w:sz w:val="28"/>
          <w:szCs w:val="28"/>
          <w:highlight w:val="white"/>
        </w:rPr>
      </w:pPr>
      <w:proofErr w:type="spellStart"/>
      <w:r w:rsidRPr="001B2995">
        <w:rPr>
          <w:rFonts w:ascii="Times New Roman" w:eastAsia="Times New Roman" w:hAnsi="Times New Roman" w:cs="Times New Roman"/>
          <w:color w:val="343A40"/>
          <w:sz w:val="28"/>
          <w:szCs w:val="28"/>
          <w:highlight w:val="white"/>
        </w:rPr>
        <w:lastRenderedPageBreak/>
        <w:t>Guix</w:t>
      </w:r>
      <w:proofErr w:type="spellEnd"/>
      <w:r w:rsidRPr="001B2995">
        <w:rPr>
          <w:rFonts w:ascii="Times New Roman" w:eastAsia="Times New Roman" w:hAnsi="Times New Roman" w:cs="Times New Roman"/>
          <w:color w:val="343A40"/>
          <w:sz w:val="28"/>
          <w:szCs w:val="28"/>
          <w:highlight w:val="white"/>
        </w:rPr>
        <w:t>, M., Bonilla-</w:t>
      </w:r>
      <w:proofErr w:type="spellStart"/>
      <w:r w:rsidRPr="001B2995">
        <w:rPr>
          <w:rFonts w:ascii="Times New Roman" w:eastAsia="Times New Roman" w:hAnsi="Times New Roman" w:cs="Times New Roman"/>
          <w:color w:val="343A40"/>
          <w:sz w:val="28"/>
          <w:szCs w:val="28"/>
          <w:highlight w:val="white"/>
        </w:rPr>
        <w:t>Priego</w:t>
      </w:r>
      <w:proofErr w:type="spellEnd"/>
      <w:r w:rsidRPr="001B2995">
        <w:rPr>
          <w:rFonts w:ascii="Times New Roman" w:eastAsia="Times New Roman" w:hAnsi="Times New Roman" w:cs="Times New Roman"/>
          <w:color w:val="343A40"/>
          <w:sz w:val="28"/>
          <w:szCs w:val="28"/>
          <w:highlight w:val="white"/>
        </w:rPr>
        <w:t>, M., &amp; Font, X. (2017). The process of sustainability reporting in international hotel groups: an analysis of stakeholder inclusiveness, materiality and responsiveness. Retrieved from https://www.tandfonline.com/doi/full/10.1080/09669582.2017.1410164</w:t>
      </w:r>
    </w:p>
    <w:p w14:paraId="73A0AB98" w14:textId="77777777" w:rsidR="001B2995" w:rsidRDefault="001B2995" w:rsidP="00B154BB">
      <w:pPr>
        <w:jc w:val="both"/>
        <w:rPr>
          <w:rFonts w:ascii="Times New Roman" w:eastAsia="Times New Roman" w:hAnsi="Times New Roman" w:cs="Times New Roman"/>
          <w:color w:val="343A40"/>
          <w:sz w:val="28"/>
          <w:szCs w:val="28"/>
          <w:highlight w:val="white"/>
        </w:rPr>
      </w:pPr>
    </w:p>
    <w:p w14:paraId="04D395A3" w14:textId="77777777" w:rsidR="00681441" w:rsidRPr="00814DF9" w:rsidRDefault="00681441" w:rsidP="00681441">
      <w:pPr>
        <w:pStyle w:val="Heading2"/>
        <w:spacing w:before="0" w:after="0"/>
        <w:jc w:val="both"/>
        <w:textAlignment w:val="center"/>
        <w:rPr>
          <w:rFonts w:ascii="Times New Roman" w:eastAsia="Times New Roman" w:hAnsi="Times New Roman" w:cs="Times New Roman"/>
          <w:color w:val="343A40"/>
          <w:sz w:val="28"/>
          <w:szCs w:val="28"/>
          <w:highlight w:val="white"/>
        </w:rPr>
      </w:pPr>
      <w:r w:rsidRPr="00814DF9">
        <w:rPr>
          <w:rFonts w:ascii="Times New Roman" w:eastAsia="Times New Roman" w:hAnsi="Times New Roman" w:cs="Times New Roman"/>
          <w:color w:val="343A40"/>
          <w:sz w:val="28"/>
          <w:szCs w:val="28"/>
          <w:highlight w:val="white"/>
          <w:lang w:val="de-DE"/>
        </w:rPr>
        <w:t xml:space="preserve">Hahn, R. and Kuhnen, M. </w:t>
      </w:r>
      <w:r>
        <w:rPr>
          <w:rFonts w:ascii="Times New Roman" w:eastAsia="Times New Roman" w:hAnsi="Times New Roman" w:cs="Times New Roman"/>
          <w:color w:val="343A40"/>
          <w:sz w:val="28"/>
          <w:szCs w:val="28"/>
          <w:highlight w:val="white"/>
          <w:lang w:val="de-DE"/>
        </w:rPr>
        <w:t>(</w:t>
      </w:r>
      <w:r w:rsidRPr="00681441">
        <w:rPr>
          <w:rFonts w:ascii="Times New Roman" w:eastAsia="Times New Roman" w:hAnsi="Times New Roman" w:cs="Times New Roman"/>
          <w:color w:val="343A40"/>
          <w:sz w:val="28"/>
          <w:szCs w:val="28"/>
          <w:highlight w:val="white"/>
          <w:lang w:val="de-DE"/>
        </w:rPr>
        <w:t xml:space="preserve">2013). </w:t>
      </w:r>
      <w:r w:rsidRPr="00814DF9">
        <w:rPr>
          <w:rFonts w:ascii="Times New Roman" w:hAnsi="Times New Roman" w:cs="Times New Roman"/>
          <w:color w:val="343A40"/>
          <w:sz w:val="28"/>
          <w:szCs w:val="28"/>
          <w:highlight w:val="white"/>
        </w:rPr>
        <w:t xml:space="preserve">Determinants of sustainability reporting: a review of results, trends, theory, and opportunities in an expanding field of research. </w:t>
      </w:r>
      <w:hyperlink r:id="rId8" w:tooltip="Go to Journal of Cleaner Production on ScienceDirect" w:history="1">
        <w:r w:rsidRPr="00814DF9">
          <w:rPr>
            <w:rFonts w:ascii="Times New Roman" w:hAnsi="Times New Roman" w:cs="Times New Roman"/>
            <w:color w:val="343A40"/>
            <w:sz w:val="28"/>
            <w:szCs w:val="28"/>
            <w:highlight w:val="white"/>
          </w:rPr>
          <w:t>Journal of Cleaner Production</w:t>
        </w:r>
      </w:hyperlink>
    </w:p>
    <w:p w14:paraId="44203ED8" w14:textId="77777777" w:rsidR="00681441" w:rsidRDefault="00681441" w:rsidP="00681441">
      <w:pPr>
        <w:rPr>
          <w:rFonts w:ascii="Times New Roman" w:hAnsi="Times New Roman" w:cs="Times New Roman"/>
          <w:color w:val="343A40"/>
          <w:sz w:val="28"/>
          <w:szCs w:val="28"/>
          <w:highlight w:val="white"/>
        </w:rPr>
      </w:pPr>
    </w:p>
    <w:p w14:paraId="2417B9E4" w14:textId="77777777" w:rsidR="00681441" w:rsidRPr="00814DF9" w:rsidRDefault="00681441" w:rsidP="00681441">
      <w:pPr>
        <w:rPr>
          <w:rFonts w:ascii="Times New Roman" w:hAnsi="Times New Roman" w:cs="Times New Roman"/>
          <w:color w:val="343A40"/>
          <w:sz w:val="28"/>
          <w:szCs w:val="28"/>
          <w:highlight w:val="white"/>
        </w:rPr>
      </w:pPr>
      <w:r>
        <w:rPr>
          <w:rFonts w:ascii="Times New Roman" w:hAnsi="Times New Roman" w:cs="Times New Roman"/>
          <w:color w:val="343A40"/>
          <w:sz w:val="28"/>
          <w:szCs w:val="28"/>
          <w:highlight w:val="white"/>
        </w:rPr>
        <w:t xml:space="preserve">Hilton, (2019). Hilton 2019 Corporate Responsibility Report. Retrieved from </w:t>
      </w:r>
      <w:hyperlink r:id="rId9" w:history="1">
        <w:r w:rsidRPr="00450AC4">
          <w:rPr>
            <w:rStyle w:val="Hyperlink"/>
            <w:rFonts w:ascii="Times New Roman" w:hAnsi="Times New Roman" w:cs="Times New Roman"/>
            <w:sz w:val="28"/>
            <w:szCs w:val="28"/>
          </w:rPr>
          <w:t>https://cr.hilton.com/wp-content/uploads/2020/04/Hilton-2019-CR-Report.pdf</w:t>
        </w:r>
      </w:hyperlink>
      <w:r>
        <w:rPr>
          <w:rFonts w:ascii="Times New Roman" w:hAnsi="Times New Roman" w:cs="Times New Roman"/>
          <w:color w:val="343A40"/>
          <w:sz w:val="28"/>
          <w:szCs w:val="28"/>
        </w:rPr>
        <w:t xml:space="preserve"> </w:t>
      </w:r>
    </w:p>
    <w:p w14:paraId="6A5CCA8E" w14:textId="77777777" w:rsidR="00681441" w:rsidRDefault="00681441" w:rsidP="00B154BB">
      <w:pPr>
        <w:jc w:val="both"/>
        <w:rPr>
          <w:rFonts w:ascii="Times New Roman" w:eastAsia="Times New Roman" w:hAnsi="Times New Roman" w:cs="Times New Roman"/>
          <w:color w:val="343A40"/>
          <w:sz w:val="28"/>
          <w:szCs w:val="28"/>
          <w:highlight w:val="white"/>
        </w:rPr>
      </w:pPr>
    </w:p>
    <w:p w14:paraId="0000004A" w14:textId="77777777" w:rsidR="005901A6" w:rsidRDefault="005776F5" w:rsidP="00B154BB">
      <w:pPr>
        <w:jc w:val="both"/>
        <w:rPr>
          <w:rFonts w:ascii="Times New Roman" w:eastAsia="Times New Roman" w:hAnsi="Times New Roman" w:cs="Times New Roman"/>
          <w:color w:val="343A40"/>
          <w:sz w:val="28"/>
          <w:szCs w:val="28"/>
          <w:highlight w:val="white"/>
        </w:rPr>
      </w:pPr>
      <w:r>
        <w:rPr>
          <w:rFonts w:ascii="Times New Roman" w:eastAsia="Times New Roman" w:hAnsi="Times New Roman" w:cs="Times New Roman"/>
          <w:color w:val="343A40"/>
          <w:sz w:val="28"/>
          <w:szCs w:val="28"/>
          <w:highlight w:val="white"/>
        </w:rPr>
        <w:t>KPMG (2016), “Carrots &amp; Sticks: Global Trends in Sustainability Reporting Regulation and Policy,</w:t>
      </w:r>
      <w:proofErr w:type="gramStart"/>
      <w:r>
        <w:rPr>
          <w:rFonts w:ascii="Times New Roman" w:eastAsia="Times New Roman" w:hAnsi="Times New Roman" w:cs="Times New Roman"/>
          <w:color w:val="343A40"/>
          <w:sz w:val="28"/>
          <w:szCs w:val="28"/>
          <w:highlight w:val="white"/>
        </w:rPr>
        <w:t>”  Retrieved</w:t>
      </w:r>
      <w:proofErr w:type="gramEnd"/>
      <w:r>
        <w:rPr>
          <w:rFonts w:ascii="Times New Roman" w:eastAsia="Times New Roman" w:hAnsi="Times New Roman" w:cs="Times New Roman"/>
          <w:color w:val="343A40"/>
          <w:sz w:val="28"/>
          <w:szCs w:val="28"/>
          <w:highlight w:val="white"/>
        </w:rPr>
        <w:t xml:space="preserve"> from </w:t>
      </w:r>
      <w:hyperlink r:id="rId10">
        <w:r>
          <w:rPr>
            <w:rFonts w:ascii="Times New Roman" w:eastAsia="Times New Roman" w:hAnsi="Times New Roman" w:cs="Times New Roman"/>
            <w:color w:val="1155CC"/>
            <w:sz w:val="28"/>
            <w:szCs w:val="28"/>
            <w:highlight w:val="white"/>
            <w:u w:val="single"/>
          </w:rPr>
          <w:t>https://assets.kpmg.com/content/dam/kpmg/pdf/2016/05/carrots-and-sticks-may-2016.pdf</w:t>
        </w:r>
      </w:hyperlink>
    </w:p>
    <w:p w14:paraId="0000004B" w14:textId="77777777" w:rsidR="005901A6" w:rsidRDefault="005901A6" w:rsidP="00B154BB">
      <w:pPr>
        <w:jc w:val="both"/>
        <w:rPr>
          <w:rFonts w:ascii="Times New Roman" w:eastAsia="Times New Roman" w:hAnsi="Times New Roman" w:cs="Times New Roman"/>
          <w:color w:val="343A40"/>
          <w:sz w:val="28"/>
          <w:szCs w:val="28"/>
          <w:highlight w:val="white"/>
        </w:rPr>
      </w:pPr>
    </w:p>
    <w:p w14:paraId="0000004C" w14:textId="77777777" w:rsidR="005901A6" w:rsidRDefault="005776F5" w:rsidP="00B154BB">
      <w:pPr>
        <w:jc w:val="both"/>
        <w:rPr>
          <w:rFonts w:ascii="Times New Roman" w:eastAsia="Times New Roman" w:hAnsi="Times New Roman" w:cs="Times New Roman"/>
          <w:color w:val="343A40"/>
          <w:sz w:val="28"/>
          <w:szCs w:val="28"/>
          <w:highlight w:val="white"/>
        </w:rPr>
      </w:pPr>
      <w:proofErr w:type="spellStart"/>
      <w:r>
        <w:rPr>
          <w:rFonts w:ascii="Times New Roman" w:eastAsia="Times New Roman" w:hAnsi="Times New Roman" w:cs="Times New Roman"/>
          <w:color w:val="343A40"/>
          <w:sz w:val="28"/>
          <w:szCs w:val="28"/>
          <w:highlight w:val="white"/>
        </w:rPr>
        <w:t>Medrado</w:t>
      </w:r>
      <w:proofErr w:type="spellEnd"/>
      <w:r>
        <w:rPr>
          <w:rFonts w:ascii="Times New Roman" w:eastAsia="Times New Roman" w:hAnsi="Times New Roman" w:cs="Times New Roman"/>
          <w:color w:val="343A40"/>
          <w:sz w:val="28"/>
          <w:szCs w:val="28"/>
          <w:highlight w:val="white"/>
        </w:rPr>
        <w:t xml:space="preserve">, L, Jackson, LA (2016) Corporate </w:t>
      </w:r>
      <w:proofErr w:type="spellStart"/>
      <w:r>
        <w:rPr>
          <w:rFonts w:ascii="Times New Roman" w:eastAsia="Times New Roman" w:hAnsi="Times New Roman" w:cs="Times New Roman"/>
          <w:color w:val="343A40"/>
          <w:sz w:val="28"/>
          <w:szCs w:val="28"/>
          <w:highlight w:val="white"/>
        </w:rPr>
        <w:t>non financial</w:t>
      </w:r>
      <w:proofErr w:type="spellEnd"/>
      <w:r>
        <w:rPr>
          <w:rFonts w:ascii="Times New Roman" w:eastAsia="Times New Roman" w:hAnsi="Times New Roman" w:cs="Times New Roman"/>
          <w:color w:val="343A40"/>
          <w:sz w:val="28"/>
          <w:szCs w:val="28"/>
          <w:highlight w:val="white"/>
        </w:rPr>
        <w:t xml:space="preserve"> disclosures: an illuminating look at the corporate social responsibility and sustainability reporting practices of hospitality and tourism firms. Tourism and Hospitality Research 16(2): 116–132.</w:t>
      </w:r>
    </w:p>
    <w:p w14:paraId="0000004D" w14:textId="77777777" w:rsidR="005901A6" w:rsidRDefault="005901A6" w:rsidP="00B154BB">
      <w:pPr>
        <w:jc w:val="both"/>
        <w:rPr>
          <w:rFonts w:ascii="Times New Roman" w:eastAsia="Times New Roman" w:hAnsi="Times New Roman" w:cs="Times New Roman"/>
          <w:color w:val="343A40"/>
          <w:sz w:val="28"/>
          <w:szCs w:val="28"/>
          <w:highlight w:val="white"/>
        </w:rPr>
      </w:pPr>
    </w:p>
    <w:p w14:paraId="0000004E" w14:textId="77777777" w:rsidR="005901A6" w:rsidRPr="00EE4B44" w:rsidRDefault="005776F5" w:rsidP="00B154BB">
      <w:pPr>
        <w:jc w:val="both"/>
        <w:rPr>
          <w:rFonts w:ascii="Times New Roman" w:eastAsia="Times New Roman" w:hAnsi="Times New Roman" w:cs="Times New Roman"/>
          <w:color w:val="343A40"/>
          <w:sz w:val="28"/>
          <w:szCs w:val="28"/>
          <w:highlight w:val="white"/>
          <w:lang w:val="de-DE"/>
        </w:rPr>
      </w:pPr>
      <w:proofErr w:type="spellStart"/>
      <w:r>
        <w:rPr>
          <w:rFonts w:ascii="Times New Roman" w:eastAsia="Times New Roman" w:hAnsi="Times New Roman" w:cs="Times New Roman"/>
          <w:color w:val="343A40"/>
          <w:sz w:val="28"/>
          <w:szCs w:val="28"/>
          <w:highlight w:val="white"/>
        </w:rPr>
        <w:t>Moneva</w:t>
      </w:r>
      <w:proofErr w:type="spellEnd"/>
      <w:r>
        <w:rPr>
          <w:rFonts w:ascii="Times New Roman" w:eastAsia="Times New Roman" w:hAnsi="Times New Roman" w:cs="Times New Roman"/>
          <w:color w:val="343A40"/>
          <w:sz w:val="28"/>
          <w:szCs w:val="28"/>
          <w:highlight w:val="white"/>
        </w:rPr>
        <w:t xml:space="preserve">, J. M., </w:t>
      </w:r>
      <w:proofErr w:type="spellStart"/>
      <w:r>
        <w:rPr>
          <w:rFonts w:ascii="Times New Roman" w:eastAsia="Times New Roman" w:hAnsi="Times New Roman" w:cs="Times New Roman"/>
          <w:color w:val="343A40"/>
          <w:sz w:val="28"/>
          <w:szCs w:val="28"/>
          <w:highlight w:val="white"/>
        </w:rPr>
        <w:t>Archel</w:t>
      </w:r>
      <w:proofErr w:type="spellEnd"/>
      <w:r>
        <w:rPr>
          <w:rFonts w:ascii="Times New Roman" w:eastAsia="Times New Roman" w:hAnsi="Times New Roman" w:cs="Times New Roman"/>
          <w:color w:val="343A40"/>
          <w:sz w:val="28"/>
          <w:szCs w:val="28"/>
          <w:highlight w:val="white"/>
        </w:rPr>
        <w:t xml:space="preserve">, P., Correa, C. (2006). GRI and the camouflaging of corporate unsustainability. </w:t>
      </w:r>
      <w:r w:rsidRPr="00EE4B44">
        <w:rPr>
          <w:rFonts w:ascii="Times New Roman" w:eastAsia="Times New Roman" w:hAnsi="Times New Roman" w:cs="Times New Roman"/>
          <w:color w:val="343A40"/>
          <w:sz w:val="28"/>
          <w:szCs w:val="28"/>
          <w:highlight w:val="white"/>
          <w:lang w:val="de-DE"/>
        </w:rPr>
        <w:t>Accounting Forum, 30, 121-137.</w:t>
      </w:r>
    </w:p>
    <w:p w14:paraId="0000004F" w14:textId="77777777" w:rsidR="005901A6" w:rsidRPr="00EE4B44" w:rsidRDefault="005901A6" w:rsidP="00B154BB">
      <w:pPr>
        <w:shd w:val="clear" w:color="auto" w:fill="FFFFFF"/>
        <w:spacing w:after="160"/>
        <w:jc w:val="both"/>
        <w:rPr>
          <w:rFonts w:ascii="Times New Roman" w:eastAsia="Times New Roman" w:hAnsi="Times New Roman" w:cs="Times New Roman"/>
          <w:color w:val="006ACC"/>
          <w:sz w:val="20"/>
          <w:szCs w:val="20"/>
          <w:highlight w:val="white"/>
          <w:u w:val="single"/>
          <w:lang w:val="de-DE"/>
        </w:rPr>
      </w:pPr>
    </w:p>
    <w:p w14:paraId="00000050" w14:textId="77777777" w:rsidR="005901A6" w:rsidRDefault="005613A0" w:rsidP="00B154BB">
      <w:pPr>
        <w:shd w:val="clear" w:color="auto" w:fill="FFFFFF"/>
        <w:spacing w:after="160"/>
        <w:jc w:val="both"/>
        <w:rPr>
          <w:rFonts w:ascii="Times New Roman" w:eastAsia="Times New Roman" w:hAnsi="Times New Roman" w:cs="Times New Roman"/>
          <w:color w:val="343A40"/>
          <w:sz w:val="28"/>
          <w:szCs w:val="28"/>
          <w:highlight w:val="white"/>
        </w:rPr>
      </w:pPr>
      <w:hyperlink r:id="rId11">
        <w:r w:rsidR="005776F5" w:rsidRPr="00EE4B44">
          <w:rPr>
            <w:rFonts w:ascii="Times New Roman" w:eastAsia="Times New Roman" w:hAnsi="Times New Roman" w:cs="Times New Roman"/>
            <w:color w:val="343A40"/>
            <w:sz w:val="28"/>
            <w:szCs w:val="28"/>
            <w:highlight w:val="white"/>
            <w:lang w:val="de-DE"/>
          </w:rPr>
          <w:t>Reimsbach</w:t>
        </w:r>
      </w:hyperlink>
      <w:r w:rsidR="005776F5" w:rsidRPr="00EE4B44">
        <w:rPr>
          <w:rFonts w:ascii="Times New Roman" w:eastAsia="Times New Roman" w:hAnsi="Times New Roman" w:cs="Times New Roman"/>
          <w:color w:val="343A40"/>
          <w:sz w:val="28"/>
          <w:szCs w:val="28"/>
          <w:highlight w:val="white"/>
          <w:lang w:val="de-DE"/>
        </w:rPr>
        <w:t>, D.,</w:t>
      </w:r>
      <w:r>
        <w:fldChar w:fldCharType="begin"/>
      </w:r>
      <w:r>
        <w:instrText xml:space="preserve"> HYPERLINK "https://journals.sagepub.com/doi/</w:instrText>
      </w:r>
      <w:r>
        <w:instrText xml:space="preserve">full/10.1177/1086026619875436" \h </w:instrText>
      </w:r>
      <w:r>
        <w:fldChar w:fldCharType="separate"/>
      </w:r>
      <w:r w:rsidR="005776F5" w:rsidRPr="00EE4B44">
        <w:rPr>
          <w:rFonts w:ascii="Times New Roman" w:eastAsia="Times New Roman" w:hAnsi="Times New Roman" w:cs="Times New Roman"/>
          <w:color w:val="343A40"/>
          <w:sz w:val="28"/>
          <w:szCs w:val="28"/>
          <w:highlight w:val="white"/>
          <w:lang w:val="de-DE"/>
        </w:rPr>
        <w:t xml:space="preserve"> Schiemann</w:t>
      </w:r>
      <w:r>
        <w:rPr>
          <w:rFonts w:ascii="Times New Roman" w:eastAsia="Times New Roman" w:hAnsi="Times New Roman" w:cs="Times New Roman"/>
          <w:color w:val="343A40"/>
          <w:sz w:val="28"/>
          <w:szCs w:val="28"/>
          <w:highlight w:val="white"/>
          <w:lang w:val="de-DE"/>
        </w:rPr>
        <w:fldChar w:fldCharType="end"/>
      </w:r>
      <w:r w:rsidR="005776F5" w:rsidRPr="00EE4B44">
        <w:rPr>
          <w:rFonts w:ascii="Times New Roman" w:eastAsia="Times New Roman" w:hAnsi="Times New Roman" w:cs="Times New Roman"/>
          <w:color w:val="343A40"/>
          <w:sz w:val="28"/>
          <w:szCs w:val="28"/>
          <w:highlight w:val="white"/>
          <w:lang w:val="de-DE"/>
        </w:rPr>
        <w:t>, F.,</w:t>
      </w:r>
      <w:hyperlink r:id="rId12">
        <w:r w:rsidR="005776F5" w:rsidRPr="00EE4B44">
          <w:rPr>
            <w:rFonts w:ascii="Times New Roman" w:eastAsia="Times New Roman" w:hAnsi="Times New Roman" w:cs="Times New Roman"/>
            <w:color w:val="343A40"/>
            <w:sz w:val="28"/>
            <w:szCs w:val="28"/>
            <w:highlight w:val="white"/>
            <w:lang w:val="de-DE"/>
          </w:rPr>
          <w:t xml:space="preserve"> Hahn</w:t>
        </w:r>
      </w:hyperlink>
      <w:r w:rsidR="005776F5" w:rsidRPr="00EE4B44">
        <w:rPr>
          <w:rFonts w:ascii="Times New Roman" w:eastAsia="Times New Roman" w:hAnsi="Times New Roman" w:cs="Times New Roman"/>
          <w:color w:val="343A40"/>
          <w:sz w:val="28"/>
          <w:szCs w:val="28"/>
          <w:highlight w:val="white"/>
          <w:lang w:val="de-DE"/>
        </w:rPr>
        <w:t>, R. and</w:t>
      </w:r>
      <w:r w:rsidR="005776F5">
        <w:fldChar w:fldCharType="begin"/>
      </w:r>
      <w:r w:rsidR="005776F5" w:rsidRPr="00EE4B44">
        <w:rPr>
          <w:lang w:val="de-DE"/>
        </w:rPr>
        <w:instrText xml:space="preserve"> HYPERLINK "https://journals.sagepub.com/doi/full/10.1177/1086026619875436" \h </w:instrText>
      </w:r>
      <w:r w:rsidR="005776F5">
        <w:fldChar w:fldCharType="separate"/>
      </w:r>
      <w:r w:rsidR="005776F5" w:rsidRPr="00EE4B44">
        <w:rPr>
          <w:rFonts w:ascii="Times New Roman" w:eastAsia="Times New Roman" w:hAnsi="Times New Roman" w:cs="Times New Roman"/>
          <w:color w:val="343A40"/>
          <w:sz w:val="28"/>
          <w:szCs w:val="28"/>
          <w:highlight w:val="white"/>
          <w:lang w:val="de-DE"/>
        </w:rPr>
        <w:t xml:space="preserve"> Schmiedchen</w:t>
      </w:r>
      <w:r w:rsidR="005776F5">
        <w:rPr>
          <w:rFonts w:ascii="Times New Roman" w:eastAsia="Times New Roman" w:hAnsi="Times New Roman" w:cs="Times New Roman"/>
          <w:color w:val="343A40"/>
          <w:sz w:val="28"/>
          <w:szCs w:val="28"/>
          <w:highlight w:val="white"/>
        </w:rPr>
        <w:fldChar w:fldCharType="end"/>
      </w:r>
      <w:r w:rsidR="005776F5" w:rsidRPr="00EE4B44">
        <w:rPr>
          <w:rFonts w:ascii="Times New Roman" w:eastAsia="Times New Roman" w:hAnsi="Times New Roman" w:cs="Times New Roman"/>
          <w:color w:val="343A40"/>
          <w:sz w:val="28"/>
          <w:szCs w:val="28"/>
          <w:highlight w:val="white"/>
          <w:lang w:val="de-DE"/>
        </w:rPr>
        <w:t xml:space="preserve">, E. (2019). </w:t>
      </w:r>
      <w:r w:rsidR="005776F5">
        <w:rPr>
          <w:rFonts w:ascii="Times New Roman" w:eastAsia="Times New Roman" w:hAnsi="Times New Roman" w:cs="Times New Roman"/>
          <w:color w:val="343A40"/>
          <w:sz w:val="28"/>
          <w:szCs w:val="28"/>
          <w:highlight w:val="white"/>
        </w:rPr>
        <w:t xml:space="preserve">In the Eyes of the Beholder: Experimental Evidence on the Contested Nature of Materiality in Sustainability Reporting. </w:t>
      </w:r>
      <w:hyperlink r:id="rId13">
        <w:r w:rsidR="005776F5">
          <w:rPr>
            <w:rFonts w:ascii="Times New Roman" w:eastAsia="Times New Roman" w:hAnsi="Times New Roman" w:cs="Times New Roman"/>
            <w:color w:val="343A40"/>
            <w:sz w:val="28"/>
            <w:szCs w:val="28"/>
            <w:highlight w:val="white"/>
          </w:rPr>
          <w:t xml:space="preserve">Volume: 33 issue: 4, </w:t>
        </w:r>
      </w:hyperlink>
      <w:r w:rsidR="005776F5">
        <w:rPr>
          <w:rFonts w:ascii="Times New Roman" w:eastAsia="Times New Roman" w:hAnsi="Times New Roman" w:cs="Times New Roman"/>
          <w:color w:val="343A40"/>
          <w:sz w:val="28"/>
          <w:szCs w:val="28"/>
          <w:highlight w:val="white"/>
        </w:rPr>
        <w:t>page(s): 624-651</w:t>
      </w:r>
    </w:p>
    <w:p w14:paraId="00000051" w14:textId="77777777" w:rsidR="005901A6" w:rsidRDefault="005901A6" w:rsidP="00B154BB">
      <w:pPr>
        <w:jc w:val="both"/>
        <w:rPr>
          <w:rFonts w:ascii="Times New Roman" w:eastAsia="Times New Roman" w:hAnsi="Times New Roman" w:cs="Times New Roman"/>
          <w:color w:val="343A40"/>
          <w:sz w:val="28"/>
          <w:szCs w:val="28"/>
          <w:highlight w:val="white"/>
        </w:rPr>
      </w:pPr>
    </w:p>
    <w:p w14:paraId="00000052" w14:textId="77777777" w:rsidR="005901A6" w:rsidRDefault="005776F5" w:rsidP="00B154BB">
      <w:pPr>
        <w:jc w:val="both"/>
        <w:rPr>
          <w:rFonts w:ascii="Times New Roman" w:eastAsia="Times New Roman" w:hAnsi="Times New Roman" w:cs="Times New Roman"/>
          <w:color w:val="444444"/>
          <w:sz w:val="18"/>
          <w:szCs w:val="18"/>
          <w:shd w:val="clear" w:color="auto" w:fill="F7F7F7"/>
        </w:rPr>
      </w:pPr>
      <w:proofErr w:type="spellStart"/>
      <w:r>
        <w:rPr>
          <w:rFonts w:ascii="Times New Roman" w:eastAsia="Times New Roman" w:hAnsi="Times New Roman" w:cs="Times New Roman"/>
          <w:color w:val="343A40"/>
          <w:sz w:val="28"/>
          <w:szCs w:val="28"/>
          <w:highlight w:val="white"/>
        </w:rPr>
        <w:t>Unerman</w:t>
      </w:r>
      <w:proofErr w:type="spellEnd"/>
      <w:r>
        <w:rPr>
          <w:rFonts w:ascii="Times New Roman" w:eastAsia="Times New Roman" w:hAnsi="Times New Roman" w:cs="Times New Roman"/>
          <w:color w:val="343A40"/>
          <w:sz w:val="28"/>
          <w:szCs w:val="28"/>
          <w:highlight w:val="white"/>
        </w:rPr>
        <w:t xml:space="preserve">, J., Bebington, J., </w:t>
      </w:r>
      <w:proofErr w:type="spellStart"/>
      <w:r>
        <w:rPr>
          <w:rFonts w:ascii="Times New Roman" w:eastAsia="Times New Roman" w:hAnsi="Times New Roman" w:cs="Times New Roman"/>
          <w:color w:val="343A40"/>
          <w:sz w:val="28"/>
          <w:szCs w:val="28"/>
          <w:highlight w:val="white"/>
        </w:rPr>
        <w:t>O’Dwyer</w:t>
      </w:r>
      <w:proofErr w:type="spellEnd"/>
      <w:r>
        <w:rPr>
          <w:rFonts w:ascii="Times New Roman" w:eastAsia="Times New Roman" w:hAnsi="Times New Roman" w:cs="Times New Roman"/>
          <w:color w:val="343A40"/>
          <w:sz w:val="28"/>
          <w:szCs w:val="28"/>
          <w:highlight w:val="white"/>
        </w:rPr>
        <w:t>, B. (2007). Sustainability, accounting and accountability. New York, NY: Routledge.</w:t>
      </w:r>
    </w:p>
    <w:sectPr w:rsidR="005901A6">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88E8" w16cex:dateUtc="2020-10-23T09:52:00Z"/>
  <w16cex:commentExtensible w16cex:durableId="233D88FC" w16cex:dateUtc="2020-10-23T09:53:00Z"/>
  <w16cex:commentExtensible w16cex:durableId="233D89C7" w16cex:dateUtc="2020-10-23T09:56:00Z"/>
  <w16cex:commentExtensible w16cex:durableId="233D89E9" w16cex:dateUtc="2020-10-23T09:57:00Z"/>
  <w16cex:commentExtensible w16cex:durableId="233D89FE" w16cex:dateUtc="2020-10-23T09:57:00Z"/>
  <w16cex:commentExtensible w16cex:durableId="233D8A11" w16cex:dateUtc="2020-10-23T09:57:00Z"/>
  <w16cex:commentExtensible w16cex:durableId="233D8A7D" w16cex:dateUtc="2020-10-23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053607" w16cid:durableId="233D88E8"/>
  <w16cid:commentId w16cid:paraId="478A1628" w16cid:durableId="233D88FC"/>
  <w16cid:commentId w16cid:paraId="7E89EB36" w16cid:durableId="233D89C7"/>
  <w16cid:commentId w16cid:paraId="3BF48FEB" w16cid:durableId="233D89E9"/>
  <w16cid:commentId w16cid:paraId="79353FDF" w16cid:durableId="233D89FE"/>
  <w16cid:commentId w16cid:paraId="190EA582" w16cid:durableId="233D8A11"/>
  <w16cid:commentId w16cid:paraId="0113E416" w16cid:durableId="233D8A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7649"/>
    <w:multiLevelType w:val="multilevel"/>
    <w:tmpl w:val="2124D6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A6"/>
    <w:rsid w:val="000D565C"/>
    <w:rsid w:val="001B2995"/>
    <w:rsid w:val="001C6A7D"/>
    <w:rsid w:val="001D30D5"/>
    <w:rsid w:val="00380213"/>
    <w:rsid w:val="003E2328"/>
    <w:rsid w:val="003F5A0D"/>
    <w:rsid w:val="00477254"/>
    <w:rsid w:val="00512B2D"/>
    <w:rsid w:val="00544A9C"/>
    <w:rsid w:val="005469A5"/>
    <w:rsid w:val="005514C9"/>
    <w:rsid w:val="005613A0"/>
    <w:rsid w:val="005776F5"/>
    <w:rsid w:val="005901A6"/>
    <w:rsid w:val="00681441"/>
    <w:rsid w:val="006943E2"/>
    <w:rsid w:val="007233C9"/>
    <w:rsid w:val="00781D01"/>
    <w:rsid w:val="007A7D4C"/>
    <w:rsid w:val="008C17C1"/>
    <w:rsid w:val="00916C0A"/>
    <w:rsid w:val="009710C2"/>
    <w:rsid w:val="009B0001"/>
    <w:rsid w:val="00A21F71"/>
    <w:rsid w:val="00B154BB"/>
    <w:rsid w:val="00C81C68"/>
    <w:rsid w:val="00D402D3"/>
    <w:rsid w:val="00D82ED8"/>
    <w:rsid w:val="00DF0B0E"/>
    <w:rsid w:val="00E252B5"/>
    <w:rsid w:val="00EA7B4F"/>
    <w:rsid w:val="00EE4B44"/>
    <w:rsid w:val="00F7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A7B4F"/>
    <w:rPr>
      <w:sz w:val="16"/>
      <w:szCs w:val="16"/>
    </w:rPr>
  </w:style>
  <w:style w:type="paragraph" w:styleId="CommentText">
    <w:name w:val="annotation text"/>
    <w:basedOn w:val="Normal"/>
    <w:link w:val="CommentTextChar"/>
    <w:uiPriority w:val="99"/>
    <w:semiHidden/>
    <w:unhideWhenUsed/>
    <w:rsid w:val="00EA7B4F"/>
    <w:pPr>
      <w:spacing w:line="240" w:lineRule="auto"/>
    </w:pPr>
    <w:rPr>
      <w:sz w:val="20"/>
      <w:szCs w:val="20"/>
    </w:rPr>
  </w:style>
  <w:style w:type="character" w:customStyle="1" w:styleId="CommentTextChar">
    <w:name w:val="Comment Text Char"/>
    <w:basedOn w:val="DefaultParagraphFont"/>
    <w:link w:val="CommentText"/>
    <w:uiPriority w:val="99"/>
    <w:semiHidden/>
    <w:rsid w:val="00EA7B4F"/>
    <w:rPr>
      <w:sz w:val="20"/>
      <w:szCs w:val="20"/>
    </w:rPr>
  </w:style>
  <w:style w:type="paragraph" w:styleId="CommentSubject">
    <w:name w:val="annotation subject"/>
    <w:basedOn w:val="CommentText"/>
    <w:next w:val="CommentText"/>
    <w:link w:val="CommentSubjectChar"/>
    <w:uiPriority w:val="99"/>
    <w:semiHidden/>
    <w:unhideWhenUsed/>
    <w:rsid w:val="00EA7B4F"/>
    <w:rPr>
      <w:b/>
      <w:bCs/>
    </w:rPr>
  </w:style>
  <w:style w:type="character" w:customStyle="1" w:styleId="CommentSubjectChar">
    <w:name w:val="Comment Subject Char"/>
    <w:basedOn w:val="CommentTextChar"/>
    <w:link w:val="CommentSubject"/>
    <w:uiPriority w:val="99"/>
    <w:semiHidden/>
    <w:rsid w:val="00EA7B4F"/>
    <w:rPr>
      <w:b/>
      <w:bCs/>
      <w:sz w:val="20"/>
      <w:szCs w:val="20"/>
    </w:rPr>
  </w:style>
  <w:style w:type="paragraph" w:styleId="BalloonText">
    <w:name w:val="Balloon Text"/>
    <w:basedOn w:val="Normal"/>
    <w:link w:val="BalloonTextChar"/>
    <w:uiPriority w:val="99"/>
    <w:semiHidden/>
    <w:unhideWhenUsed/>
    <w:rsid w:val="00EA7B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4F"/>
    <w:rPr>
      <w:rFonts w:ascii="Segoe UI" w:hAnsi="Segoe UI" w:cs="Segoe UI"/>
      <w:sz w:val="18"/>
      <w:szCs w:val="18"/>
    </w:rPr>
  </w:style>
  <w:style w:type="paragraph" w:styleId="ListParagraph">
    <w:name w:val="List Paragraph"/>
    <w:basedOn w:val="Normal"/>
    <w:uiPriority w:val="34"/>
    <w:qFormat/>
    <w:rsid w:val="006943E2"/>
    <w:pPr>
      <w:ind w:left="720"/>
      <w:contextualSpacing/>
    </w:pPr>
  </w:style>
  <w:style w:type="character" w:styleId="Hyperlink">
    <w:name w:val="Hyperlink"/>
    <w:basedOn w:val="DefaultParagraphFont"/>
    <w:uiPriority w:val="99"/>
    <w:unhideWhenUsed/>
    <w:rsid w:val="00681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A7B4F"/>
    <w:rPr>
      <w:sz w:val="16"/>
      <w:szCs w:val="16"/>
    </w:rPr>
  </w:style>
  <w:style w:type="paragraph" w:styleId="CommentText">
    <w:name w:val="annotation text"/>
    <w:basedOn w:val="Normal"/>
    <w:link w:val="CommentTextChar"/>
    <w:uiPriority w:val="99"/>
    <w:semiHidden/>
    <w:unhideWhenUsed/>
    <w:rsid w:val="00EA7B4F"/>
    <w:pPr>
      <w:spacing w:line="240" w:lineRule="auto"/>
    </w:pPr>
    <w:rPr>
      <w:sz w:val="20"/>
      <w:szCs w:val="20"/>
    </w:rPr>
  </w:style>
  <w:style w:type="character" w:customStyle="1" w:styleId="CommentTextChar">
    <w:name w:val="Comment Text Char"/>
    <w:basedOn w:val="DefaultParagraphFont"/>
    <w:link w:val="CommentText"/>
    <w:uiPriority w:val="99"/>
    <w:semiHidden/>
    <w:rsid w:val="00EA7B4F"/>
    <w:rPr>
      <w:sz w:val="20"/>
      <w:szCs w:val="20"/>
    </w:rPr>
  </w:style>
  <w:style w:type="paragraph" w:styleId="CommentSubject">
    <w:name w:val="annotation subject"/>
    <w:basedOn w:val="CommentText"/>
    <w:next w:val="CommentText"/>
    <w:link w:val="CommentSubjectChar"/>
    <w:uiPriority w:val="99"/>
    <w:semiHidden/>
    <w:unhideWhenUsed/>
    <w:rsid w:val="00EA7B4F"/>
    <w:rPr>
      <w:b/>
      <w:bCs/>
    </w:rPr>
  </w:style>
  <w:style w:type="character" w:customStyle="1" w:styleId="CommentSubjectChar">
    <w:name w:val="Comment Subject Char"/>
    <w:basedOn w:val="CommentTextChar"/>
    <w:link w:val="CommentSubject"/>
    <w:uiPriority w:val="99"/>
    <w:semiHidden/>
    <w:rsid w:val="00EA7B4F"/>
    <w:rPr>
      <w:b/>
      <w:bCs/>
      <w:sz w:val="20"/>
      <w:szCs w:val="20"/>
    </w:rPr>
  </w:style>
  <w:style w:type="paragraph" w:styleId="BalloonText">
    <w:name w:val="Balloon Text"/>
    <w:basedOn w:val="Normal"/>
    <w:link w:val="BalloonTextChar"/>
    <w:uiPriority w:val="99"/>
    <w:semiHidden/>
    <w:unhideWhenUsed/>
    <w:rsid w:val="00EA7B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4F"/>
    <w:rPr>
      <w:rFonts w:ascii="Segoe UI" w:hAnsi="Segoe UI" w:cs="Segoe UI"/>
      <w:sz w:val="18"/>
      <w:szCs w:val="18"/>
    </w:rPr>
  </w:style>
  <w:style w:type="paragraph" w:styleId="ListParagraph">
    <w:name w:val="List Paragraph"/>
    <w:basedOn w:val="Normal"/>
    <w:uiPriority w:val="34"/>
    <w:qFormat/>
    <w:rsid w:val="006943E2"/>
    <w:pPr>
      <w:ind w:left="720"/>
      <w:contextualSpacing/>
    </w:pPr>
  </w:style>
  <w:style w:type="character" w:styleId="Hyperlink">
    <w:name w:val="Hyperlink"/>
    <w:basedOn w:val="DefaultParagraphFont"/>
    <w:uiPriority w:val="99"/>
    <w:unhideWhenUsed/>
    <w:rsid w:val="00681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9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9596526" TargetMode="External"/><Relationship Id="rId13" Type="http://schemas.openxmlformats.org/officeDocument/2006/relationships/hyperlink" Target="https://journals.sagepub.com/toc/oae/33/4" TargetMode="External"/><Relationship Id="rId3" Type="http://schemas.microsoft.com/office/2007/relationships/stylesWithEffects" Target="stylesWithEffects.xml"/><Relationship Id="rId7" Type="http://schemas.openxmlformats.org/officeDocument/2006/relationships/hyperlink" Target="http://www.globalreporting.org/resourcelibrary/carrots-and-sticks.pdf" TargetMode="External"/><Relationship Id="rId12" Type="http://schemas.openxmlformats.org/officeDocument/2006/relationships/hyperlink" Target="https://journals.sagepub.com/doi/full/10.1177/1086026619875436"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journals.sagepub.com/doi/full/10.1177/1476127013520265" TargetMode="External"/><Relationship Id="rId11" Type="http://schemas.openxmlformats.org/officeDocument/2006/relationships/hyperlink" Target="https://journals.sagepub.com/doi/full/10.1177/10860266198754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kpmg.com/content/dam/kpmg/pdf/2016/05/carrots-and-sticks-may-2016.pdf" TargetMode="External"/><Relationship Id="rId4" Type="http://schemas.openxmlformats.org/officeDocument/2006/relationships/settings" Target="settings.xml"/><Relationship Id="rId9" Type="http://schemas.openxmlformats.org/officeDocument/2006/relationships/hyperlink" Target="https://cr.hilton.com/wp-content/uploads/2020/04/Hilton-2019-CR-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Bích Ngọc</dc:creator>
  <cp:lastModifiedBy>Admin</cp:lastModifiedBy>
  <cp:revision>2</cp:revision>
  <dcterms:created xsi:type="dcterms:W3CDTF">2021-01-23T04:58:00Z</dcterms:created>
  <dcterms:modified xsi:type="dcterms:W3CDTF">2021-01-23T04:58:00Z</dcterms:modified>
</cp:coreProperties>
</file>