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134" w:rsidRPr="00B16134" w:rsidRDefault="00B16134" w:rsidP="00B16134">
      <w:pPr>
        <w:autoSpaceDE w:val="0"/>
        <w:autoSpaceDN w:val="0"/>
        <w:adjustRightInd w:val="0"/>
        <w:spacing w:after="0" w:line="240" w:lineRule="auto"/>
        <w:jc w:val="center"/>
        <w:rPr>
          <w:rFonts w:ascii="Calibri" w:eastAsia="Calibri" w:hAnsi="Calibri" w:cs="Arial"/>
          <w:bCs/>
          <w:color w:val="000000"/>
          <w:sz w:val="18"/>
          <w:szCs w:val="18"/>
        </w:rPr>
      </w:pPr>
      <w:r w:rsidRPr="00B16134">
        <w:rPr>
          <w:rFonts w:ascii="Arial" w:eastAsia="Calibri" w:hAnsi="Arial" w:cs="Arial"/>
          <w:bCs/>
          <w:color w:val="000000"/>
          <w:sz w:val="18"/>
          <w:szCs w:val="18"/>
        </w:rPr>
        <w:t>Based on an example from UWE Law Library</w:t>
      </w:r>
    </w:p>
    <w:p w:rsidR="00B16134" w:rsidRPr="00B16134" w:rsidRDefault="00B16134" w:rsidP="00B16134">
      <w:pPr>
        <w:autoSpaceDE w:val="0"/>
        <w:autoSpaceDN w:val="0"/>
        <w:adjustRightInd w:val="0"/>
        <w:spacing w:after="0" w:line="240" w:lineRule="auto"/>
        <w:jc w:val="center"/>
        <w:rPr>
          <w:rFonts w:ascii="Calibri" w:eastAsia="Calibri" w:hAnsi="Calibri" w:cs="Arial"/>
          <w:b/>
          <w:bCs/>
          <w:color w:val="000000"/>
          <w:sz w:val="24"/>
          <w:szCs w:val="24"/>
        </w:rPr>
      </w:pPr>
    </w:p>
    <w:p w:rsidR="00B16134" w:rsidRPr="00B16134" w:rsidRDefault="00B16134" w:rsidP="00B16134">
      <w:pPr>
        <w:autoSpaceDE w:val="0"/>
        <w:autoSpaceDN w:val="0"/>
        <w:adjustRightInd w:val="0"/>
        <w:spacing w:after="0" w:line="240" w:lineRule="auto"/>
        <w:jc w:val="center"/>
        <w:rPr>
          <w:rFonts w:ascii="Calibri" w:eastAsia="Calibri" w:hAnsi="Calibri" w:cs="Arial"/>
          <w:b/>
          <w:bCs/>
          <w:color w:val="000000"/>
          <w:sz w:val="24"/>
          <w:szCs w:val="24"/>
        </w:rPr>
      </w:pPr>
      <w:r w:rsidRPr="00B16134">
        <w:rPr>
          <w:rFonts w:ascii="Calibri" w:eastAsia="Calibri" w:hAnsi="Calibri" w:cs="Arial"/>
          <w:b/>
          <w:bCs/>
          <w:color w:val="000000"/>
          <w:sz w:val="24"/>
          <w:szCs w:val="24"/>
        </w:rPr>
        <w:t>Primary Sources</w:t>
      </w:r>
    </w:p>
    <w:p w:rsidR="00B16134" w:rsidRPr="00B16134" w:rsidRDefault="00B16134" w:rsidP="00B16134">
      <w:pPr>
        <w:autoSpaceDE w:val="0"/>
        <w:autoSpaceDN w:val="0"/>
        <w:adjustRightInd w:val="0"/>
        <w:spacing w:after="0" w:line="240" w:lineRule="auto"/>
        <w:jc w:val="center"/>
        <w:rPr>
          <w:rFonts w:ascii="Calibri" w:eastAsia="Calibri" w:hAnsi="Calibri" w:cs="Arial"/>
          <w:b/>
          <w:bCs/>
          <w:color w:val="000000"/>
          <w:sz w:val="20"/>
          <w:szCs w:val="20"/>
        </w:rPr>
      </w:pPr>
      <w:r w:rsidRPr="00B16134">
        <w:rPr>
          <w:rFonts w:ascii="Calibri" w:eastAsia="Calibri" w:hAnsi="Calibri" w:cs="Arial"/>
          <w:b/>
          <w:bCs/>
          <w:color w:val="000000"/>
          <w:sz w:val="20"/>
          <w:szCs w:val="20"/>
        </w:rPr>
        <w:t xml:space="preserve">(NB line spacing has been reduced to provide a range of examples </w:t>
      </w:r>
    </w:p>
    <w:p w:rsidR="00B16134" w:rsidRPr="00B16134" w:rsidRDefault="00B16134" w:rsidP="00B16134">
      <w:pPr>
        <w:autoSpaceDE w:val="0"/>
        <w:autoSpaceDN w:val="0"/>
        <w:adjustRightInd w:val="0"/>
        <w:spacing w:after="0" w:line="240" w:lineRule="auto"/>
        <w:jc w:val="center"/>
        <w:rPr>
          <w:rFonts w:ascii="Calibri" w:eastAsia="Calibri" w:hAnsi="Calibri" w:cs="Arial"/>
          <w:b/>
          <w:bCs/>
          <w:color w:val="000000"/>
          <w:sz w:val="20"/>
          <w:szCs w:val="20"/>
        </w:rPr>
      </w:pPr>
      <w:proofErr w:type="gramStart"/>
      <w:r w:rsidRPr="00B16134">
        <w:rPr>
          <w:rFonts w:ascii="Calibri" w:eastAsia="Calibri" w:hAnsi="Calibri" w:cs="Arial"/>
          <w:b/>
          <w:bCs/>
          <w:color w:val="000000"/>
          <w:sz w:val="20"/>
          <w:szCs w:val="20"/>
        </w:rPr>
        <w:t>check</w:t>
      </w:r>
      <w:proofErr w:type="gramEnd"/>
      <w:r w:rsidRPr="00B16134">
        <w:rPr>
          <w:rFonts w:ascii="Calibri" w:eastAsia="Calibri" w:hAnsi="Calibri" w:cs="Arial"/>
          <w:b/>
          <w:bCs/>
          <w:color w:val="000000"/>
          <w:sz w:val="20"/>
          <w:szCs w:val="20"/>
        </w:rPr>
        <w:t xml:space="preserve"> your unit handbook as to font size, line spacing and margins)</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b/>
          <w:bCs/>
          <w:color w:val="000000"/>
          <w:sz w:val="24"/>
          <w:szCs w:val="24"/>
        </w:rPr>
        <w:t xml:space="preserve">UK Cases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 xml:space="preserve">Bank </w:t>
      </w:r>
      <w:proofErr w:type="spellStart"/>
      <w:r w:rsidRPr="00B16134">
        <w:rPr>
          <w:rFonts w:ascii="Calibri" w:eastAsia="Calibri" w:hAnsi="Calibri" w:cs="Arial"/>
          <w:iCs/>
          <w:color w:val="000000"/>
          <w:sz w:val="24"/>
          <w:szCs w:val="24"/>
        </w:rPr>
        <w:t>Mellat</w:t>
      </w:r>
      <w:proofErr w:type="spellEnd"/>
      <w:r w:rsidRPr="00B16134">
        <w:rPr>
          <w:rFonts w:ascii="Calibri" w:eastAsia="Calibri" w:hAnsi="Calibri" w:cs="Arial"/>
          <w:iCs/>
          <w:color w:val="000000"/>
          <w:sz w:val="24"/>
          <w:szCs w:val="24"/>
        </w:rPr>
        <w:t xml:space="preserve"> v HM Treasury</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[2010] EWCA </w:t>
      </w:r>
      <w:proofErr w:type="spellStart"/>
      <w:r w:rsidRPr="00B16134">
        <w:rPr>
          <w:rFonts w:ascii="Calibri" w:eastAsia="Calibri" w:hAnsi="Calibri" w:cs="Arial"/>
          <w:color w:val="000000"/>
          <w:sz w:val="24"/>
          <w:szCs w:val="24"/>
        </w:rPr>
        <w:t>Civ</w:t>
      </w:r>
      <w:proofErr w:type="spellEnd"/>
      <w:r w:rsidRPr="00B16134">
        <w:rPr>
          <w:rFonts w:ascii="Calibri" w:eastAsia="Calibri" w:hAnsi="Calibri" w:cs="Arial"/>
          <w:color w:val="000000"/>
          <w:sz w:val="24"/>
          <w:szCs w:val="24"/>
        </w:rPr>
        <w:t xml:space="preserve"> 483, [2010] 3 WLR 1090</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 xml:space="preserve">Baxter v </w:t>
      </w:r>
      <w:proofErr w:type="gramStart"/>
      <w:r w:rsidRPr="00B16134">
        <w:rPr>
          <w:rFonts w:ascii="Calibri" w:eastAsia="Calibri" w:hAnsi="Calibri" w:cs="Arial"/>
          <w:iCs/>
          <w:color w:val="000000"/>
          <w:sz w:val="24"/>
          <w:szCs w:val="24"/>
        </w:rPr>
        <w:t>Baxter  [</w:t>
      </w:r>
      <w:proofErr w:type="gramEnd"/>
      <w:r w:rsidRPr="00B16134">
        <w:rPr>
          <w:rFonts w:ascii="Calibri" w:eastAsia="Calibri" w:hAnsi="Calibri" w:cs="Arial"/>
          <w:iCs/>
          <w:color w:val="000000"/>
          <w:sz w:val="24"/>
          <w:szCs w:val="24"/>
        </w:rPr>
        <w:t xml:space="preserve">1948] </w:t>
      </w:r>
      <w:r w:rsidRPr="00B16134">
        <w:rPr>
          <w:rFonts w:ascii="Calibri" w:eastAsia="Calibri" w:hAnsi="Calibri" w:cs="Arial"/>
          <w:color w:val="000000"/>
          <w:sz w:val="24"/>
          <w:szCs w:val="24"/>
        </w:rPr>
        <w:t>A.C. 274 (</w:t>
      </w:r>
      <w:r w:rsidRPr="00B16134">
        <w:rPr>
          <w:rFonts w:ascii="Calibri" w:eastAsia="Calibri" w:hAnsi="Calibri" w:cs="Arial"/>
          <w:iCs/>
          <w:color w:val="000000"/>
          <w:sz w:val="24"/>
          <w:szCs w:val="24"/>
        </w:rPr>
        <w:t>HL)</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iCs/>
          <w:color w:val="000000"/>
          <w:sz w:val="24"/>
          <w:szCs w:val="24"/>
        </w:rPr>
        <w:t>Charman</w:t>
      </w:r>
      <w:proofErr w:type="spellEnd"/>
      <w:r w:rsidRPr="00B16134">
        <w:rPr>
          <w:rFonts w:ascii="Calibri" w:eastAsia="Calibri" w:hAnsi="Calibri" w:cs="Arial"/>
          <w:iCs/>
          <w:color w:val="000000"/>
          <w:sz w:val="24"/>
          <w:szCs w:val="24"/>
        </w:rPr>
        <w:t xml:space="preserve"> v </w:t>
      </w:r>
      <w:proofErr w:type="spellStart"/>
      <w:r w:rsidRPr="00B16134">
        <w:rPr>
          <w:rFonts w:ascii="Calibri" w:eastAsia="Calibri" w:hAnsi="Calibri" w:cs="Arial"/>
          <w:iCs/>
          <w:color w:val="000000"/>
          <w:sz w:val="24"/>
          <w:szCs w:val="24"/>
        </w:rPr>
        <w:t>Charman</w:t>
      </w:r>
      <w:proofErr w:type="spellEnd"/>
      <w:r w:rsidRPr="00B16134">
        <w:rPr>
          <w:rFonts w:ascii="Calibri" w:eastAsia="Calibri" w:hAnsi="Calibri" w:cs="Arial"/>
          <w:i/>
          <w:iCs/>
          <w:color w:val="000000"/>
          <w:sz w:val="24"/>
          <w:szCs w:val="24"/>
        </w:rPr>
        <w:t xml:space="preserve"> </w:t>
      </w:r>
      <w:r w:rsidRPr="00B16134">
        <w:rPr>
          <w:rFonts w:ascii="Calibri" w:eastAsia="Calibri" w:hAnsi="Calibri" w:cs="Arial"/>
          <w:iCs/>
          <w:color w:val="000000"/>
          <w:sz w:val="24"/>
          <w:szCs w:val="24"/>
        </w:rPr>
        <w:t xml:space="preserve">[2007] EWCA </w:t>
      </w:r>
      <w:proofErr w:type="spellStart"/>
      <w:r w:rsidRPr="00B16134">
        <w:rPr>
          <w:rFonts w:ascii="Calibri" w:eastAsia="Calibri" w:hAnsi="Calibri" w:cs="Arial"/>
          <w:iCs/>
          <w:color w:val="000000"/>
          <w:sz w:val="24"/>
          <w:szCs w:val="24"/>
        </w:rPr>
        <w:t>Civ</w:t>
      </w:r>
      <w:proofErr w:type="spellEnd"/>
      <w:r w:rsidRPr="00B16134">
        <w:rPr>
          <w:rFonts w:ascii="Calibri" w:eastAsia="Calibri" w:hAnsi="Calibri" w:cs="Arial"/>
          <w:iCs/>
          <w:color w:val="000000"/>
          <w:sz w:val="24"/>
          <w:szCs w:val="24"/>
        </w:rPr>
        <w:t xml:space="preserve"> 503, </w:t>
      </w:r>
      <w:r w:rsidRPr="00B16134">
        <w:rPr>
          <w:rFonts w:ascii="Calibri" w:eastAsia="Calibri" w:hAnsi="Calibri" w:cs="Arial"/>
          <w:color w:val="000000"/>
          <w:sz w:val="24"/>
          <w:szCs w:val="24"/>
        </w:rPr>
        <w:t>[2007] 1 FLR 1246</w:t>
      </w:r>
      <w:r w:rsidRPr="00B16134">
        <w:rPr>
          <w:rFonts w:ascii="Calibri" w:eastAsia="Calibri" w:hAnsi="Calibri" w:cs="Arial"/>
          <w:iCs/>
          <w:color w:val="000000"/>
          <w:sz w:val="24"/>
          <w:szCs w:val="24"/>
        </w:rPr>
        <w:t xml:space="preserve">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 xml:space="preserve">Crofter Hand Woven Harris Tweed Co Ltd v </w:t>
      </w:r>
      <w:proofErr w:type="spellStart"/>
      <w:r w:rsidRPr="00B16134">
        <w:rPr>
          <w:rFonts w:ascii="Calibri" w:eastAsia="Calibri" w:hAnsi="Calibri" w:cs="Arial"/>
          <w:iCs/>
          <w:color w:val="000000"/>
          <w:sz w:val="24"/>
          <w:szCs w:val="24"/>
        </w:rPr>
        <w:t>Veitch</w:t>
      </w:r>
      <w:proofErr w:type="spellEnd"/>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[1942] AC 435 (HL) </w:t>
      </w:r>
    </w:p>
    <w:p w:rsidR="00B16134" w:rsidRPr="00B16134" w:rsidRDefault="00B16134" w:rsidP="00B16134">
      <w:pPr>
        <w:spacing w:after="0"/>
        <w:outlineLvl w:val="2"/>
        <w:rPr>
          <w:rFonts w:ascii="Calibri" w:eastAsia="Calibri" w:hAnsi="Calibri" w:cs="Times New Roman"/>
        </w:rPr>
      </w:pPr>
      <w:proofErr w:type="gramStart"/>
      <w:r w:rsidRPr="00B16134">
        <w:rPr>
          <w:rFonts w:ascii="Calibri" w:eastAsia="Calibri" w:hAnsi="Calibri" w:cs="Times New Roman"/>
          <w:iCs/>
          <w:sz w:val="24"/>
          <w:szCs w:val="24"/>
        </w:rPr>
        <w:t>Forney v Dominion Insurance Co Ltd</w:t>
      </w:r>
      <w:r w:rsidRPr="00B16134">
        <w:rPr>
          <w:rFonts w:ascii="Calibri" w:eastAsia="Calibri" w:hAnsi="Calibri" w:cs="Times New Roman"/>
          <w:b/>
          <w:bCs/>
          <w:sz w:val="24"/>
          <w:szCs w:val="24"/>
        </w:rPr>
        <w:t xml:space="preserve"> </w:t>
      </w:r>
      <w:r w:rsidRPr="00B16134">
        <w:rPr>
          <w:rFonts w:ascii="Calibri" w:eastAsia="Times New Roman" w:hAnsi="Calibri" w:cs="Times New Roman"/>
          <w:bCs/>
          <w:sz w:val="24"/>
          <w:szCs w:val="24"/>
          <w:lang w:eastAsia="en-GB"/>
        </w:rPr>
        <w:t>[1969] 1 WLR.</w:t>
      </w:r>
      <w:proofErr w:type="gramEnd"/>
      <w:r w:rsidRPr="00B16134">
        <w:rPr>
          <w:rFonts w:ascii="Calibri" w:eastAsia="Times New Roman" w:hAnsi="Calibri" w:cs="Times New Roman"/>
          <w:bCs/>
          <w:sz w:val="24"/>
          <w:szCs w:val="24"/>
          <w:lang w:eastAsia="en-GB"/>
        </w:rPr>
        <w:t xml:space="preserve"> 928 (Com Ct</w:t>
      </w:r>
      <w:proofErr w:type="gramStart"/>
      <w:r w:rsidRPr="00B16134">
        <w:rPr>
          <w:rFonts w:ascii="Calibri" w:eastAsia="Times New Roman" w:hAnsi="Calibri" w:cs="Times New Roman"/>
          <w:bCs/>
          <w:sz w:val="24"/>
          <w:szCs w:val="24"/>
          <w:lang w:eastAsia="en-GB"/>
        </w:rPr>
        <w:t>)</w:t>
      </w:r>
      <w:r w:rsidRPr="00B16134">
        <w:rPr>
          <w:rFonts w:ascii="Calibri" w:eastAsia="Calibri" w:hAnsi="Calibri" w:cs="Times New Roman"/>
          <w:sz w:val="24"/>
          <w:szCs w:val="24"/>
        </w:rPr>
        <w:t>[</w:t>
      </w:r>
      <w:proofErr w:type="gramEnd"/>
      <w:r w:rsidRPr="00B16134">
        <w:rPr>
          <w:rFonts w:ascii="Calibri" w:eastAsia="Calibri" w:hAnsi="Calibri" w:cs="Times New Roman"/>
          <w:sz w:val="24"/>
          <w:szCs w:val="24"/>
        </w:rPr>
        <w:t xml:space="preserve">1969] 1 Lloyd’s Rep 502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iCs/>
          <w:color w:val="000000"/>
          <w:sz w:val="24"/>
          <w:szCs w:val="24"/>
        </w:rPr>
        <w:t>Kinaston</w:t>
      </w:r>
      <w:proofErr w:type="spellEnd"/>
      <w:r w:rsidRPr="00B16134">
        <w:rPr>
          <w:rFonts w:ascii="Calibri" w:eastAsia="Calibri" w:hAnsi="Calibri" w:cs="Arial"/>
          <w:iCs/>
          <w:color w:val="000000"/>
          <w:sz w:val="24"/>
          <w:szCs w:val="24"/>
        </w:rPr>
        <w:t xml:space="preserve"> v Moore</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(1626) </w:t>
      </w:r>
      <w:proofErr w:type="spellStart"/>
      <w:r w:rsidRPr="00B16134">
        <w:rPr>
          <w:rFonts w:ascii="Calibri" w:eastAsia="Calibri" w:hAnsi="Calibri" w:cs="Arial"/>
          <w:color w:val="000000"/>
          <w:sz w:val="24"/>
          <w:szCs w:val="24"/>
        </w:rPr>
        <w:t>Croke</w:t>
      </w:r>
      <w:proofErr w:type="spellEnd"/>
      <w:r w:rsidRPr="00B16134">
        <w:rPr>
          <w:rFonts w:ascii="Calibri" w:eastAsia="Calibri" w:hAnsi="Calibri" w:cs="Arial"/>
          <w:color w:val="000000"/>
          <w:sz w:val="24"/>
          <w:szCs w:val="24"/>
        </w:rPr>
        <w:t xml:space="preserve"> Car 89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iCs/>
          <w:color w:val="000000"/>
          <w:sz w:val="24"/>
          <w:szCs w:val="24"/>
        </w:rPr>
        <w:t>Lep</w:t>
      </w:r>
      <w:proofErr w:type="spellEnd"/>
      <w:r w:rsidRPr="00B16134">
        <w:rPr>
          <w:rFonts w:ascii="Calibri" w:eastAsia="Calibri" w:hAnsi="Calibri" w:cs="Arial"/>
          <w:iCs/>
          <w:color w:val="000000"/>
          <w:sz w:val="24"/>
          <w:szCs w:val="24"/>
        </w:rPr>
        <w:t xml:space="preserve"> Air v </w:t>
      </w:r>
      <w:proofErr w:type="spellStart"/>
      <w:r w:rsidRPr="00B16134">
        <w:rPr>
          <w:rFonts w:ascii="Calibri" w:eastAsia="Calibri" w:hAnsi="Calibri" w:cs="Arial"/>
          <w:iCs/>
          <w:color w:val="000000"/>
          <w:sz w:val="24"/>
          <w:szCs w:val="24"/>
        </w:rPr>
        <w:t>Rolloswin</w:t>
      </w:r>
      <w:proofErr w:type="spellEnd"/>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[1973] AC 331 (HL)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 xml:space="preserve">Marquis </w:t>
      </w:r>
      <w:proofErr w:type="spellStart"/>
      <w:r w:rsidRPr="00B16134">
        <w:rPr>
          <w:rFonts w:ascii="Calibri" w:eastAsia="Calibri" w:hAnsi="Calibri" w:cs="Arial"/>
          <w:iCs/>
          <w:color w:val="000000"/>
          <w:sz w:val="24"/>
          <w:szCs w:val="24"/>
        </w:rPr>
        <w:t>Cholomondeley</w:t>
      </w:r>
      <w:proofErr w:type="spellEnd"/>
      <w:r w:rsidRPr="00B16134">
        <w:rPr>
          <w:rFonts w:ascii="Calibri" w:eastAsia="Calibri" w:hAnsi="Calibri" w:cs="Arial"/>
          <w:iCs/>
          <w:color w:val="000000"/>
          <w:sz w:val="24"/>
          <w:szCs w:val="24"/>
        </w:rPr>
        <w:t xml:space="preserve"> v Lord Clinton</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(1820) 2 </w:t>
      </w:r>
      <w:proofErr w:type="spellStart"/>
      <w:r w:rsidRPr="00B16134">
        <w:rPr>
          <w:rFonts w:ascii="Calibri" w:eastAsia="Calibri" w:hAnsi="Calibri" w:cs="Arial"/>
          <w:color w:val="000000"/>
          <w:sz w:val="24"/>
          <w:szCs w:val="24"/>
        </w:rPr>
        <w:t>Jac</w:t>
      </w:r>
      <w:proofErr w:type="spellEnd"/>
      <w:r w:rsidRPr="00B16134">
        <w:rPr>
          <w:rFonts w:ascii="Calibri" w:eastAsia="Calibri" w:hAnsi="Calibri" w:cs="Arial"/>
          <w:color w:val="000000"/>
          <w:sz w:val="24"/>
          <w:szCs w:val="24"/>
        </w:rPr>
        <w:t xml:space="preserve"> &amp; W 1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OBG Ltd v Allan</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[2007] UKHL 21, [2008] 1 AC 1</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R v Cogan</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[1976] QB 217 (CA)</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 xml:space="preserve">Secretary of State for the Home Department v AF </w:t>
      </w:r>
      <w:r w:rsidRPr="00B16134">
        <w:rPr>
          <w:rFonts w:ascii="Calibri" w:eastAsia="Calibri" w:hAnsi="Calibri" w:cs="Arial"/>
          <w:color w:val="000000"/>
          <w:sz w:val="24"/>
          <w:szCs w:val="24"/>
        </w:rPr>
        <w:t xml:space="preserve">[2009] UKHL 28, [2010] 2 AC 269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Wainwright v Home Office</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[2003] UKHL 53, [2003] 2 AC 406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b/>
          <w:bCs/>
          <w:color w:val="000000"/>
          <w:sz w:val="24"/>
          <w:szCs w:val="24"/>
        </w:rPr>
        <w:t xml:space="preserve">European Cases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iCs/>
          <w:color w:val="000000"/>
          <w:sz w:val="24"/>
          <w:szCs w:val="24"/>
        </w:rPr>
        <w:t>Chahal</w:t>
      </w:r>
      <w:proofErr w:type="spellEnd"/>
      <w:r w:rsidRPr="00B16134">
        <w:rPr>
          <w:rFonts w:ascii="Calibri" w:eastAsia="Calibri" w:hAnsi="Calibri" w:cs="Arial"/>
          <w:iCs/>
          <w:color w:val="000000"/>
          <w:sz w:val="24"/>
          <w:szCs w:val="24"/>
        </w:rPr>
        <w:t xml:space="preserve"> v United Kingdom</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(1996) 23 EHRR 413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iCs/>
          <w:color w:val="000000"/>
          <w:sz w:val="24"/>
          <w:szCs w:val="24"/>
        </w:rPr>
        <w:t>Kadi</w:t>
      </w:r>
      <w:proofErr w:type="spellEnd"/>
      <w:r w:rsidRPr="00B16134">
        <w:rPr>
          <w:rFonts w:ascii="Calibri" w:eastAsia="Calibri" w:hAnsi="Calibri" w:cs="Arial"/>
          <w:iCs/>
          <w:color w:val="000000"/>
          <w:sz w:val="24"/>
          <w:szCs w:val="24"/>
        </w:rPr>
        <w:t xml:space="preserve"> v Commission</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T-85/09)</w:t>
      </w:r>
      <w:r w:rsidRPr="00B16134">
        <w:rPr>
          <w:rFonts w:ascii="Calibri" w:eastAsia="Calibri" w:hAnsi="Calibri" w:cs="Arial"/>
          <w:i/>
          <w:iCs/>
          <w:color w:val="000000"/>
          <w:sz w:val="24"/>
          <w:szCs w:val="24"/>
        </w:rPr>
        <w:t xml:space="preserve"> </w:t>
      </w:r>
      <w:r w:rsidRPr="00B16134">
        <w:rPr>
          <w:rFonts w:ascii="Calibri" w:eastAsia="Calibri" w:hAnsi="Calibri" w:cs="Arial"/>
          <w:color w:val="000000"/>
          <w:sz w:val="24"/>
          <w:szCs w:val="24"/>
        </w:rPr>
        <w:t xml:space="preserve">[2010] ECR II-0000 (judgment 30 September 2010) [157]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 xml:space="preserve">Merck &amp; Co v </w:t>
      </w:r>
      <w:proofErr w:type="spellStart"/>
      <w:r w:rsidRPr="00B16134">
        <w:rPr>
          <w:rFonts w:ascii="Calibri" w:eastAsia="Calibri" w:hAnsi="Calibri" w:cs="Arial"/>
          <w:iCs/>
          <w:color w:val="000000"/>
          <w:sz w:val="24"/>
          <w:szCs w:val="24"/>
        </w:rPr>
        <w:t>Stephar</w:t>
      </w:r>
      <w:proofErr w:type="spellEnd"/>
      <w:r w:rsidRPr="00B16134">
        <w:rPr>
          <w:rFonts w:ascii="Calibri" w:eastAsia="Calibri" w:hAnsi="Calibri" w:cs="Arial"/>
          <w:iCs/>
          <w:color w:val="000000"/>
          <w:sz w:val="24"/>
          <w:szCs w:val="24"/>
        </w:rPr>
        <w:t xml:space="preserve"> BV &amp; </w:t>
      </w:r>
      <w:proofErr w:type="spellStart"/>
      <w:r w:rsidRPr="00B16134">
        <w:rPr>
          <w:rFonts w:ascii="Calibri" w:eastAsia="Calibri" w:hAnsi="Calibri" w:cs="Arial"/>
          <w:iCs/>
          <w:color w:val="000000"/>
          <w:sz w:val="24"/>
          <w:szCs w:val="24"/>
        </w:rPr>
        <w:t>Exler</w:t>
      </w:r>
      <w:proofErr w:type="spellEnd"/>
      <w:r w:rsidRPr="00B16134">
        <w:rPr>
          <w:rFonts w:ascii="Calibri" w:eastAsia="Calibri" w:hAnsi="Calibri" w:cs="Arial"/>
          <w:i/>
          <w:iCs/>
          <w:color w:val="000000"/>
          <w:sz w:val="24"/>
          <w:szCs w:val="24"/>
        </w:rPr>
        <w:t xml:space="preserve"> </w:t>
      </w:r>
      <w:r w:rsidRPr="00B16134">
        <w:rPr>
          <w:rFonts w:ascii="Calibri" w:eastAsia="Calibri" w:hAnsi="Calibri" w:cs="Arial"/>
          <w:iCs/>
          <w:color w:val="000000"/>
          <w:sz w:val="24"/>
          <w:szCs w:val="24"/>
        </w:rPr>
        <w:t>(</w:t>
      </w:r>
      <w:r w:rsidRPr="00B16134">
        <w:rPr>
          <w:rFonts w:ascii="Calibri" w:eastAsia="Calibri" w:hAnsi="Calibri" w:cs="Arial"/>
          <w:color w:val="000000"/>
          <w:sz w:val="24"/>
          <w:szCs w:val="24"/>
        </w:rPr>
        <w:t>C-187/80 0) [1981] ECR 2063</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Nuremberg Trial Proceedings, </w:t>
      </w:r>
      <w:proofErr w:type="spellStart"/>
      <w:r w:rsidRPr="00B16134">
        <w:rPr>
          <w:rFonts w:ascii="Calibri" w:eastAsia="Calibri" w:hAnsi="Calibri" w:cs="Arial"/>
          <w:color w:val="000000"/>
          <w:sz w:val="24"/>
          <w:szCs w:val="24"/>
        </w:rPr>
        <w:t>vol</w:t>
      </w:r>
      <w:proofErr w:type="spellEnd"/>
      <w:r w:rsidRPr="00B16134">
        <w:rPr>
          <w:rFonts w:ascii="Calibri" w:eastAsia="Calibri" w:hAnsi="Calibri" w:cs="Arial"/>
          <w:color w:val="000000"/>
          <w:sz w:val="24"/>
          <w:szCs w:val="24"/>
        </w:rPr>
        <w:t xml:space="preserve"> 2, 98 reproduced at &lt;http://avalon.law.yale.edu/imt/11-21-45.asp&gt; accessed 22 August 2011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b/>
          <w:sz w:val="24"/>
          <w:szCs w:val="24"/>
        </w:rPr>
      </w:pPr>
      <w:r w:rsidRPr="00B16134">
        <w:rPr>
          <w:rFonts w:ascii="Calibri" w:eastAsia="Calibri" w:hAnsi="Calibri" w:cs="Arial"/>
          <w:b/>
          <w:bCs/>
          <w:sz w:val="24"/>
          <w:szCs w:val="24"/>
        </w:rPr>
        <w:t>UK Primary Legislation</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Civil Partnership Act 2004Insolvency Act 1986</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Prohibition of Female Genital Mutilation (Scotland) Act 2005 </w:t>
      </w:r>
    </w:p>
    <w:p w:rsidR="00B16134" w:rsidRPr="00B16134" w:rsidRDefault="00B16134" w:rsidP="00B16134">
      <w:pPr>
        <w:autoSpaceDE w:val="0"/>
        <w:autoSpaceDN w:val="0"/>
        <w:adjustRightInd w:val="0"/>
        <w:spacing w:after="0" w:line="240" w:lineRule="auto"/>
        <w:rPr>
          <w:rFonts w:ascii="Calibri" w:eastAsia="Calibri" w:hAnsi="Calibri" w:cs="Arial"/>
          <w:b/>
          <w:bCs/>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b/>
          <w:sz w:val="24"/>
          <w:szCs w:val="24"/>
        </w:rPr>
      </w:pPr>
      <w:r w:rsidRPr="00B16134">
        <w:rPr>
          <w:rFonts w:ascii="Calibri" w:eastAsia="Calibri" w:hAnsi="Calibri" w:cs="Arial"/>
          <w:b/>
          <w:bCs/>
          <w:sz w:val="24"/>
          <w:szCs w:val="24"/>
        </w:rPr>
        <w:t>UK Secondary Legislation</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Cross-Border Insolvency Regulations 2006, SI 2006/1030</w:t>
      </w:r>
    </w:p>
    <w:p w:rsidR="00B16134" w:rsidRPr="00B16134" w:rsidRDefault="00B16134" w:rsidP="00B16134">
      <w:pPr>
        <w:autoSpaceDE w:val="0"/>
        <w:autoSpaceDN w:val="0"/>
        <w:adjustRightInd w:val="0"/>
        <w:spacing w:after="0" w:line="240" w:lineRule="auto"/>
        <w:rPr>
          <w:rFonts w:ascii="Calibri" w:eastAsia="Calibri" w:hAnsi="Calibri" w:cs="Arial"/>
          <w:b/>
          <w:bCs/>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b/>
          <w:bCs/>
          <w:color w:val="000000"/>
          <w:sz w:val="24"/>
          <w:szCs w:val="24"/>
        </w:rPr>
        <w:t xml:space="preserve">Other Jurisdictions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Antiqua and </w:t>
      </w:r>
      <w:proofErr w:type="spellStart"/>
      <w:r w:rsidRPr="00B16134">
        <w:rPr>
          <w:rFonts w:ascii="Calibri" w:eastAsia="Calibri" w:hAnsi="Calibri" w:cs="Arial"/>
          <w:color w:val="000000"/>
          <w:sz w:val="24"/>
          <w:szCs w:val="24"/>
        </w:rPr>
        <w:t>Barbardos</w:t>
      </w:r>
      <w:proofErr w:type="spellEnd"/>
      <w:r w:rsidRPr="00B16134">
        <w:rPr>
          <w:rFonts w:ascii="Calibri" w:eastAsia="Calibri" w:hAnsi="Calibri" w:cs="Arial"/>
          <w:color w:val="000000"/>
          <w:sz w:val="24"/>
          <w:szCs w:val="24"/>
        </w:rPr>
        <w:t>, Patents Act 2003, Law no 23 of 2003 &lt;http://laws.gov.ag/acts/2003/a2003-23.pdf&gt; accessed 12 October 2011</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Council Decision 2006/512/EC: [2006] OJ L200/11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Criminal Code Act 1995 (Commonwealth of Australia) </w:t>
      </w:r>
    </w:p>
    <w:p w:rsidR="00B16134" w:rsidRPr="00B16134" w:rsidRDefault="00B16134" w:rsidP="00B16134">
      <w:pPr>
        <w:autoSpaceDE w:val="0"/>
        <w:autoSpaceDN w:val="0"/>
        <w:adjustRightInd w:val="0"/>
        <w:spacing w:after="0" w:line="240" w:lineRule="auto"/>
        <w:rPr>
          <w:rFonts w:ascii="Calibri" w:eastAsia="Calibri" w:hAnsi="Calibri" w:cs="Arial"/>
          <w:b/>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b/>
          <w:color w:val="000000"/>
          <w:sz w:val="24"/>
          <w:szCs w:val="24"/>
        </w:rPr>
      </w:pPr>
      <w:r w:rsidRPr="00B16134">
        <w:rPr>
          <w:rFonts w:ascii="Calibri" w:eastAsia="Calibri" w:hAnsi="Calibri" w:cs="Arial"/>
          <w:b/>
          <w:color w:val="000000"/>
          <w:sz w:val="24"/>
          <w:szCs w:val="24"/>
        </w:rPr>
        <w:t>Official Publications/Parliamentary Papers</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Board of Trade Committee to Examine the Patent System and Patent Law</w:t>
      </w:r>
      <w:r w:rsidRPr="00B16134">
        <w:rPr>
          <w:rFonts w:ascii="Arial" w:eastAsia="Calibri" w:hAnsi="Arial" w:cs="Arial"/>
          <w:color w:val="000000"/>
          <w:sz w:val="24"/>
          <w:szCs w:val="24"/>
        </w:rPr>
        <w:t xml:space="preserve"> </w:t>
      </w:r>
      <w:proofErr w:type="gramStart"/>
      <w:r w:rsidRPr="00B16134">
        <w:rPr>
          <w:rFonts w:ascii="Calibri" w:eastAsia="Calibri" w:hAnsi="Calibri" w:cs="Arial"/>
          <w:i/>
          <w:iCs/>
          <w:color w:val="000000"/>
          <w:sz w:val="24"/>
          <w:szCs w:val="24"/>
        </w:rPr>
        <w:t>The</w:t>
      </w:r>
      <w:proofErr w:type="gramEnd"/>
      <w:r w:rsidRPr="00B16134">
        <w:rPr>
          <w:rFonts w:ascii="Calibri" w:eastAsia="Calibri" w:hAnsi="Calibri" w:cs="Arial"/>
          <w:i/>
          <w:iCs/>
          <w:color w:val="000000"/>
          <w:sz w:val="24"/>
          <w:szCs w:val="24"/>
        </w:rPr>
        <w:t xml:space="preserve"> British Patent System: Report of the Committee to Examine the Patent System and Patent Law </w:t>
      </w:r>
      <w:r w:rsidRPr="00B16134">
        <w:rPr>
          <w:rFonts w:ascii="Calibri" w:eastAsia="Calibri" w:hAnsi="Calibri" w:cs="Arial"/>
          <w:color w:val="000000"/>
          <w:sz w:val="24"/>
          <w:szCs w:val="24"/>
        </w:rPr>
        <w:t>(</w:t>
      </w:r>
      <w:proofErr w:type="spellStart"/>
      <w:r w:rsidRPr="00B16134">
        <w:rPr>
          <w:rFonts w:ascii="Calibri" w:eastAsia="Calibri" w:hAnsi="Calibri" w:cs="Arial"/>
          <w:color w:val="000000"/>
          <w:sz w:val="24"/>
          <w:szCs w:val="24"/>
        </w:rPr>
        <w:t>Cmnd</w:t>
      </w:r>
      <w:proofErr w:type="spellEnd"/>
      <w:r w:rsidRPr="00B16134">
        <w:rPr>
          <w:rFonts w:ascii="Calibri" w:eastAsia="Calibri" w:hAnsi="Calibri" w:cs="Arial"/>
          <w:color w:val="000000"/>
          <w:sz w:val="24"/>
          <w:szCs w:val="24"/>
        </w:rPr>
        <w:t xml:space="preserve"> 4407, 1970)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European Commission, ‘Smarter Regulation in the European Union’ COM (2010) 543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Select Committee on the Constitution, 6th Report </w:t>
      </w:r>
      <w:r w:rsidRPr="00B16134">
        <w:rPr>
          <w:rFonts w:ascii="Calibri" w:eastAsia="Calibri" w:hAnsi="Calibri" w:cs="Arial"/>
          <w:i/>
          <w:color w:val="000000"/>
          <w:sz w:val="24"/>
          <w:szCs w:val="24"/>
        </w:rPr>
        <w:t xml:space="preserve">Relations Between the Executive, the Judiciary and </w:t>
      </w:r>
      <w:proofErr w:type="gramStart"/>
      <w:r w:rsidRPr="00B16134">
        <w:rPr>
          <w:rFonts w:ascii="Calibri" w:eastAsia="Calibri" w:hAnsi="Calibri" w:cs="Arial"/>
          <w:i/>
          <w:color w:val="000000"/>
          <w:sz w:val="24"/>
          <w:szCs w:val="24"/>
        </w:rPr>
        <w:t>Parliament</w:t>
      </w:r>
      <w:r w:rsidRPr="00B16134">
        <w:rPr>
          <w:rFonts w:ascii="Calibri" w:eastAsia="Calibri" w:hAnsi="Calibri" w:cs="Arial"/>
          <w:color w:val="000000"/>
          <w:sz w:val="24"/>
          <w:szCs w:val="24"/>
        </w:rPr>
        <w:t xml:space="preserve">  (</w:t>
      </w:r>
      <w:proofErr w:type="gramEnd"/>
      <w:r w:rsidRPr="00B16134">
        <w:rPr>
          <w:rFonts w:ascii="Calibri" w:eastAsia="Calibri" w:hAnsi="Calibri" w:cs="Arial"/>
          <w:color w:val="000000"/>
          <w:sz w:val="24"/>
          <w:szCs w:val="24"/>
        </w:rPr>
        <w:t>HL Paper2006-07, 151)</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iCs/>
          <w:color w:val="000000"/>
          <w:sz w:val="24"/>
          <w:szCs w:val="24"/>
        </w:rPr>
        <w:t>Insolvency Review Committee</w:t>
      </w:r>
      <w:r w:rsidRPr="00B16134">
        <w:rPr>
          <w:rFonts w:ascii="Calibri" w:eastAsia="Calibri" w:hAnsi="Calibri" w:cs="Arial"/>
          <w:i/>
          <w:iCs/>
          <w:color w:val="000000"/>
          <w:sz w:val="24"/>
          <w:szCs w:val="24"/>
        </w:rPr>
        <w:t xml:space="preserve"> Insolvency Law and Practice: Report (</w:t>
      </w:r>
      <w:proofErr w:type="spellStart"/>
      <w:r w:rsidRPr="00B16134">
        <w:rPr>
          <w:rFonts w:ascii="Calibri" w:eastAsia="Calibri" w:hAnsi="Calibri" w:cs="Arial"/>
          <w:color w:val="000000"/>
          <w:sz w:val="24"/>
          <w:szCs w:val="24"/>
        </w:rPr>
        <w:t>Cmnd</w:t>
      </w:r>
      <w:proofErr w:type="spellEnd"/>
      <w:r w:rsidRPr="00B16134">
        <w:rPr>
          <w:rFonts w:ascii="Calibri" w:eastAsia="Calibri" w:hAnsi="Calibri" w:cs="Arial"/>
          <w:color w:val="000000"/>
          <w:sz w:val="24"/>
          <w:szCs w:val="24"/>
        </w:rPr>
        <w:t xml:space="preserve"> 8558, 1982)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Thompson M, L Vintner and V Young, </w:t>
      </w:r>
      <w:r w:rsidRPr="00B16134">
        <w:rPr>
          <w:rFonts w:ascii="Calibri" w:eastAsia="Calibri" w:hAnsi="Calibri" w:cs="Arial"/>
          <w:i/>
          <w:iCs/>
          <w:color w:val="000000"/>
          <w:sz w:val="24"/>
          <w:szCs w:val="24"/>
        </w:rPr>
        <w:t xml:space="preserve">Dads and their Babies, Leave Arrangements in the First Year; Working Paper Series No 37 </w:t>
      </w:r>
      <w:r w:rsidRPr="00B16134">
        <w:rPr>
          <w:rFonts w:ascii="Calibri" w:eastAsia="Calibri" w:hAnsi="Calibri" w:cs="Arial"/>
          <w:color w:val="000000"/>
          <w:sz w:val="24"/>
          <w:szCs w:val="24"/>
        </w:rPr>
        <w:t xml:space="preserve">(Equal Opportunities Commission 2005)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The UK Insolvency Service, ‘Implementation of UNCITRAL Model Law on Cross-Border Insolvency in Great Britain: Summary of Responses and Government Reply’ (March 2006) </w:t>
      </w:r>
      <w:r w:rsidRPr="00B16134">
        <w:rPr>
          <w:rFonts w:ascii="Calibri" w:eastAsia="Calibri" w:hAnsi="Calibri" w:cs="Arial"/>
          <w:color w:val="000000"/>
          <w:sz w:val="24"/>
          <w:szCs w:val="24"/>
        </w:rPr>
        <w:lastRenderedPageBreak/>
        <w:t xml:space="preserve">&lt;www.insolvencydirect.bis.gov.uk/insolvencyprofessionandlegislation/ </w:t>
      </w:r>
      <w:proofErr w:type="spellStart"/>
      <w:r w:rsidRPr="00B16134">
        <w:rPr>
          <w:rFonts w:ascii="Calibri" w:eastAsia="Calibri" w:hAnsi="Calibri" w:cs="Arial"/>
          <w:color w:val="000000"/>
          <w:sz w:val="24"/>
          <w:szCs w:val="24"/>
        </w:rPr>
        <w:t>con_doc_register</w:t>
      </w:r>
      <w:proofErr w:type="spellEnd"/>
      <w:r w:rsidRPr="00B16134">
        <w:rPr>
          <w:rFonts w:ascii="Calibri" w:eastAsia="Calibri" w:hAnsi="Calibri" w:cs="Arial"/>
          <w:color w:val="000000"/>
          <w:sz w:val="24"/>
          <w:szCs w:val="24"/>
        </w:rPr>
        <w:t xml:space="preserve">/registerindex.htm&gt; accessed 17 February 2012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
    <w:p w:rsidR="00B16134" w:rsidRPr="00B16134" w:rsidRDefault="00B16134" w:rsidP="00B16134">
      <w:pPr>
        <w:autoSpaceDE w:val="0"/>
        <w:autoSpaceDN w:val="0"/>
        <w:adjustRightInd w:val="0"/>
        <w:spacing w:after="0" w:line="240" w:lineRule="auto"/>
        <w:jc w:val="center"/>
        <w:rPr>
          <w:rFonts w:ascii="Calibri" w:eastAsia="Calibri" w:hAnsi="Calibri" w:cs="Arial"/>
          <w:b/>
          <w:bCs/>
          <w:color w:val="000000"/>
          <w:sz w:val="24"/>
          <w:szCs w:val="24"/>
        </w:rPr>
      </w:pPr>
      <w:r w:rsidRPr="00B16134">
        <w:rPr>
          <w:rFonts w:ascii="Calibri" w:eastAsia="Calibri" w:hAnsi="Calibri" w:cs="Arial"/>
          <w:b/>
          <w:bCs/>
          <w:color w:val="000000"/>
          <w:sz w:val="24"/>
          <w:szCs w:val="24"/>
        </w:rPr>
        <w:t>Secondary Sources</w:t>
      </w:r>
    </w:p>
    <w:p w:rsidR="00B16134" w:rsidRPr="00B16134" w:rsidRDefault="00B16134" w:rsidP="00B16134">
      <w:pPr>
        <w:autoSpaceDE w:val="0"/>
        <w:autoSpaceDN w:val="0"/>
        <w:adjustRightInd w:val="0"/>
        <w:spacing w:after="0" w:line="240" w:lineRule="auto"/>
        <w:jc w:val="center"/>
        <w:rPr>
          <w:rFonts w:ascii="Calibri" w:eastAsia="Calibri" w:hAnsi="Calibri" w:cs="Arial"/>
          <w:b/>
          <w:bCs/>
          <w:color w:val="000000"/>
          <w:sz w:val="16"/>
          <w:szCs w:val="16"/>
        </w:rPr>
      </w:pPr>
      <w:r w:rsidRPr="00B16134">
        <w:rPr>
          <w:rFonts w:ascii="Calibri" w:eastAsia="Calibri" w:hAnsi="Calibri" w:cs="Arial"/>
          <w:b/>
          <w:bCs/>
          <w:color w:val="000000"/>
          <w:sz w:val="16"/>
          <w:szCs w:val="16"/>
        </w:rPr>
        <w:t>(Consult your lecturer as to their preference re the division of secondary sources by format)</w:t>
      </w:r>
    </w:p>
    <w:p w:rsidR="00B16134" w:rsidRPr="00B16134" w:rsidRDefault="00B16134" w:rsidP="00B16134">
      <w:pPr>
        <w:autoSpaceDE w:val="0"/>
        <w:autoSpaceDN w:val="0"/>
        <w:adjustRightInd w:val="0"/>
        <w:spacing w:after="0" w:line="240" w:lineRule="auto"/>
        <w:rPr>
          <w:rFonts w:ascii="Calibri" w:eastAsia="Calibri" w:hAnsi="Calibri" w:cs="Arial"/>
          <w:b/>
          <w:bCs/>
          <w:color w:val="000000"/>
          <w:sz w:val="24"/>
          <w:szCs w:val="24"/>
        </w:rPr>
      </w:pPr>
      <w:r w:rsidRPr="00B16134">
        <w:rPr>
          <w:rFonts w:ascii="Calibri" w:eastAsia="Calibri" w:hAnsi="Calibri" w:cs="Arial"/>
          <w:b/>
          <w:bCs/>
          <w:color w:val="000000"/>
          <w:sz w:val="24"/>
          <w:szCs w:val="24"/>
        </w:rPr>
        <w:t>Books</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bCs/>
          <w:color w:val="000000"/>
          <w:sz w:val="24"/>
          <w:szCs w:val="24"/>
        </w:rPr>
        <w:t>A</w:t>
      </w:r>
      <w:r w:rsidRPr="00B16134">
        <w:rPr>
          <w:rFonts w:ascii="Calibri" w:eastAsia="Calibri" w:hAnsi="Calibri" w:cs="Arial"/>
          <w:color w:val="000000"/>
          <w:sz w:val="24"/>
          <w:szCs w:val="24"/>
        </w:rPr>
        <w:t xml:space="preserve">shworth A, </w:t>
      </w:r>
      <w:r w:rsidRPr="00B16134">
        <w:rPr>
          <w:rFonts w:ascii="Calibri" w:eastAsia="Calibri" w:hAnsi="Calibri" w:cs="Arial"/>
          <w:i/>
          <w:iCs/>
          <w:color w:val="000000"/>
          <w:sz w:val="24"/>
          <w:szCs w:val="24"/>
        </w:rPr>
        <w:t xml:space="preserve">Principles of Criminal Law </w:t>
      </w:r>
      <w:r w:rsidRPr="00B16134">
        <w:rPr>
          <w:rFonts w:ascii="Calibri" w:eastAsia="Calibri" w:hAnsi="Calibri" w:cs="Arial"/>
          <w:color w:val="000000"/>
          <w:sz w:val="24"/>
          <w:szCs w:val="24"/>
        </w:rPr>
        <w:t xml:space="preserve">(5th </w:t>
      </w:r>
      <w:proofErr w:type="spellStart"/>
      <w:r w:rsidRPr="00B16134">
        <w:rPr>
          <w:rFonts w:ascii="Calibri" w:eastAsia="Calibri" w:hAnsi="Calibri" w:cs="Arial"/>
          <w:color w:val="000000"/>
          <w:sz w:val="24"/>
          <w:szCs w:val="24"/>
        </w:rPr>
        <w:t>edn</w:t>
      </w:r>
      <w:proofErr w:type="spellEnd"/>
      <w:r w:rsidRPr="00B16134">
        <w:rPr>
          <w:rFonts w:ascii="Calibri" w:eastAsia="Calibri" w:hAnsi="Calibri" w:cs="Arial"/>
          <w:color w:val="000000"/>
          <w:sz w:val="24"/>
          <w:szCs w:val="24"/>
        </w:rPr>
        <w:t xml:space="preserve">, OUP 2006)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Armstrong KA, </w:t>
      </w:r>
      <w:r w:rsidRPr="00B16134">
        <w:rPr>
          <w:rFonts w:ascii="Calibri" w:eastAsia="Calibri" w:hAnsi="Calibri" w:cs="Arial"/>
          <w:i/>
          <w:iCs/>
          <w:color w:val="000000"/>
          <w:sz w:val="24"/>
          <w:szCs w:val="24"/>
        </w:rPr>
        <w:t xml:space="preserve">Governing Social Inclusion: Europeanization through Policy Coordination </w:t>
      </w:r>
      <w:r w:rsidRPr="00B16134">
        <w:rPr>
          <w:rFonts w:ascii="Calibri" w:eastAsia="Calibri" w:hAnsi="Calibri" w:cs="Arial"/>
          <w:color w:val="000000"/>
          <w:sz w:val="24"/>
          <w:szCs w:val="24"/>
        </w:rPr>
        <w:t xml:space="preserve">(OUP 2010)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Barak A (</w:t>
      </w:r>
      <w:proofErr w:type="gramStart"/>
      <w:r w:rsidRPr="00B16134">
        <w:rPr>
          <w:rFonts w:ascii="Calibri" w:eastAsia="Calibri" w:hAnsi="Calibri" w:cs="Arial"/>
          <w:color w:val="000000"/>
          <w:sz w:val="24"/>
          <w:szCs w:val="24"/>
        </w:rPr>
        <w:t>trans</w:t>
      </w:r>
      <w:proofErr w:type="gramEnd"/>
      <w:r w:rsidRPr="00B16134">
        <w:rPr>
          <w:rFonts w:ascii="Calibri" w:eastAsia="Calibri" w:hAnsi="Calibri" w:cs="Arial"/>
          <w:color w:val="000000"/>
          <w:sz w:val="24"/>
          <w:szCs w:val="24"/>
        </w:rPr>
        <w:t xml:space="preserve"> S </w:t>
      </w:r>
      <w:proofErr w:type="spellStart"/>
      <w:r w:rsidRPr="00B16134">
        <w:rPr>
          <w:rFonts w:ascii="Calibri" w:eastAsia="Calibri" w:hAnsi="Calibri" w:cs="Arial"/>
          <w:color w:val="000000"/>
          <w:sz w:val="24"/>
          <w:szCs w:val="24"/>
        </w:rPr>
        <w:t>Bashi</w:t>
      </w:r>
      <w:proofErr w:type="spellEnd"/>
      <w:r w:rsidRPr="00B16134">
        <w:rPr>
          <w:rFonts w:ascii="Calibri" w:eastAsia="Calibri" w:hAnsi="Calibri" w:cs="Arial"/>
          <w:color w:val="000000"/>
          <w:sz w:val="24"/>
          <w:szCs w:val="24"/>
        </w:rPr>
        <w:t xml:space="preserve">), </w:t>
      </w:r>
      <w:r w:rsidRPr="00B16134">
        <w:rPr>
          <w:rFonts w:ascii="Calibri" w:eastAsia="Calibri" w:hAnsi="Calibri" w:cs="Arial"/>
          <w:i/>
          <w:iCs/>
          <w:color w:val="000000"/>
          <w:sz w:val="24"/>
          <w:szCs w:val="24"/>
        </w:rPr>
        <w:t xml:space="preserve">Purposive Interpretation in Law </w:t>
      </w:r>
      <w:r w:rsidRPr="00B16134">
        <w:rPr>
          <w:rFonts w:ascii="Calibri" w:eastAsia="Calibri" w:hAnsi="Calibri" w:cs="Arial"/>
          <w:color w:val="000000"/>
          <w:sz w:val="24"/>
          <w:szCs w:val="24"/>
        </w:rPr>
        <w:t xml:space="preserve">(Princeton University Press 2005)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Boyle J, </w:t>
      </w:r>
      <w:proofErr w:type="gramStart"/>
      <w:r w:rsidRPr="00B16134">
        <w:rPr>
          <w:rFonts w:ascii="Calibri" w:eastAsia="Calibri" w:hAnsi="Calibri" w:cs="Arial"/>
          <w:i/>
          <w:iCs/>
          <w:color w:val="000000"/>
          <w:sz w:val="24"/>
          <w:szCs w:val="24"/>
        </w:rPr>
        <w:t>The</w:t>
      </w:r>
      <w:proofErr w:type="gramEnd"/>
      <w:r w:rsidRPr="00B16134">
        <w:rPr>
          <w:rFonts w:ascii="Calibri" w:eastAsia="Calibri" w:hAnsi="Calibri" w:cs="Arial"/>
          <w:i/>
          <w:iCs/>
          <w:color w:val="000000"/>
          <w:sz w:val="24"/>
          <w:szCs w:val="24"/>
        </w:rPr>
        <w:t xml:space="preserve"> Public Domain: Enclosing the Commons of the Mind </w:t>
      </w:r>
      <w:r w:rsidRPr="00B16134">
        <w:rPr>
          <w:rFonts w:ascii="Calibri" w:eastAsia="Calibri" w:hAnsi="Calibri" w:cs="Arial"/>
          <w:color w:val="000000"/>
          <w:sz w:val="24"/>
          <w:szCs w:val="24"/>
        </w:rPr>
        <w:t xml:space="preserve">(Yale University Press 2008)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color w:val="000000"/>
          <w:sz w:val="24"/>
          <w:szCs w:val="24"/>
        </w:rPr>
        <w:t>Cryer</w:t>
      </w:r>
      <w:proofErr w:type="spellEnd"/>
      <w:r w:rsidRPr="00B16134">
        <w:rPr>
          <w:rFonts w:ascii="Calibri" w:eastAsia="Calibri" w:hAnsi="Calibri" w:cs="Arial"/>
          <w:color w:val="000000"/>
          <w:sz w:val="24"/>
          <w:szCs w:val="24"/>
        </w:rPr>
        <w:t xml:space="preserve"> R and others, </w:t>
      </w:r>
      <w:r w:rsidRPr="00B16134">
        <w:rPr>
          <w:rFonts w:ascii="Calibri" w:eastAsia="Calibri" w:hAnsi="Calibri" w:cs="Arial"/>
          <w:i/>
          <w:iCs/>
          <w:color w:val="000000"/>
          <w:sz w:val="24"/>
          <w:szCs w:val="24"/>
        </w:rPr>
        <w:t xml:space="preserve">An Introduction to International Criminal Law and Procedure </w:t>
      </w:r>
      <w:r w:rsidRPr="00B16134">
        <w:rPr>
          <w:rFonts w:ascii="Calibri" w:eastAsia="Calibri" w:hAnsi="Calibri" w:cs="Arial"/>
          <w:color w:val="000000"/>
          <w:sz w:val="24"/>
          <w:szCs w:val="24"/>
        </w:rPr>
        <w:t xml:space="preserve">(2nd </w:t>
      </w:r>
      <w:proofErr w:type="spellStart"/>
      <w:r w:rsidRPr="00B16134">
        <w:rPr>
          <w:rFonts w:ascii="Calibri" w:eastAsia="Calibri" w:hAnsi="Calibri" w:cs="Arial"/>
          <w:color w:val="000000"/>
          <w:sz w:val="24"/>
          <w:szCs w:val="24"/>
        </w:rPr>
        <w:t>edn</w:t>
      </w:r>
      <w:proofErr w:type="spellEnd"/>
      <w:r w:rsidRPr="00B16134">
        <w:rPr>
          <w:rFonts w:ascii="Calibri" w:eastAsia="Calibri" w:hAnsi="Calibri" w:cs="Arial"/>
          <w:color w:val="000000"/>
          <w:sz w:val="24"/>
          <w:szCs w:val="24"/>
        </w:rPr>
        <w:t xml:space="preserve">, CUP 2010)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color w:val="000000"/>
          <w:sz w:val="24"/>
          <w:szCs w:val="24"/>
        </w:rPr>
        <w:t>Husak</w:t>
      </w:r>
      <w:proofErr w:type="spellEnd"/>
      <w:r w:rsidRPr="00B16134">
        <w:rPr>
          <w:rFonts w:ascii="Calibri" w:eastAsia="Calibri" w:hAnsi="Calibri" w:cs="Arial"/>
          <w:color w:val="000000"/>
          <w:sz w:val="24"/>
          <w:szCs w:val="24"/>
        </w:rPr>
        <w:t xml:space="preserve"> D, ‘Paternalism and Consent’ in FG Miller and A Wertheimer (</w:t>
      </w:r>
      <w:proofErr w:type="spellStart"/>
      <w:proofErr w:type="gramStart"/>
      <w:r w:rsidRPr="00B16134">
        <w:rPr>
          <w:rFonts w:ascii="Calibri" w:eastAsia="Calibri" w:hAnsi="Calibri" w:cs="Arial"/>
          <w:color w:val="000000"/>
          <w:sz w:val="24"/>
          <w:szCs w:val="24"/>
        </w:rPr>
        <w:t>eds</w:t>
      </w:r>
      <w:proofErr w:type="spellEnd"/>
      <w:proofErr w:type="gramEnd"/>
      <w:r w:rsidRPr="00B16134">
        <w:rPr>
          <w:rFonts w:ascii="Calibri" w:eastAsia="Calibri" w:hAnsi="Calibri" w:cs="Arial"/>
          <w:color w:val="000000"/>
          <w:sz w:val="24"/>
          <w:szCs w:val="24"/>
        </w:rPr>
        <w:t xml:space="preserve">), </w:t>
      </w:r>
      <w:r w:rsidRPr="00B16134">
        <w:rPr>
          <w:rFonts w:ascii="Calibri" w:eastAsia="Calibri" w:hAnsi="Calibri" w:cs="Arial"/>
          <w:i/>
          <w:iCs/>
          <w:color w:val="000000"/>
          <w:sz w:val="24"/>
          <w:szCs w:val="24"/>
        </w:rPr>
        <w:t xml:space="preserve">The Ethics of Consent: Theory and Practice </w:t>
      </w:r>
      <w:r w:rsidRPr="00B16134">
        <w:rPr>
          <w:rFonts w:ascii="Calibri" w:eastAsia="Calibri" w:hAnsi="Calibri" w:cs="Arial"/>
          <w:color w:val="000000"/>
          <w:sz w:val="24"/>
          <w:szCs w:val="24"/>
        </w:rPr>
        <w:t xml:space="preserve">(OUP 2010)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color w:val="000000"/>
          <w:sz w:val="24"/>
          <w:szCs w:val="24"/>
        </w:rPr>
        <w:t>Lindseth</w:t>
      </w:r>
      <w:proofErr w:type="spellEnd"/>
      <w:r w:rsidRPr="00B16134">
        <w:rPr>
          <w:rFonts w:ascii="Calibri" w:eastAsia="Calibri" w:hAnsi="Calibri" w:cs="Arial"/>
          <w:color w:val="000000"/>
          <w:sz w:val="24"/>
          <w:szCs w:val="24"/>
        </w:rPr>
        <w:t xml:space="preserve"> PL, ‘Agents without Principals? Delegation in an Age of Diffuse and Fragmented Governance’ in F </w:t>
      </w:r>
      <w:proofErr w:type="spellStart"/>
      <w:r w:rsidRPr="00B16134">
        <w:rPr>
          <w:rFonts w:ascii="Calibri" w:eastAsia="Calibri" w:hAnsi="Calibri" w:cs="Arial"/>
          <w:color w:val="000000"/>
          <w:sz w:val="24"/>
          <w:szCs w:val="24"/>
        </w:rPr>
        <w:t>Cafaggi</w:t>
      </w:r>
      <w:proofErr w:type="spellEnd"/>
      <w:r w:rsidRPr="00B16134">
        <w:rPr>
          <w:rFonts w:ascii="Calibri" w:eastAsia="Calibri" w:hAnsi="Calibri" w:cs="Arial"/>
          <w:color w:val="000000"/>
          <w:sz w:val="24"/>
          <w:szCs w:val="24"/>
        </w:rPr>
        <w:t xml:space="preserve"> (</w:t>
      </w:r>
      <w:proofErr w:type="spellStart"/>
      <w:r w:rsidRPr="00B16134">
        <w:rPr>
          <w:rFonts w:ascii="Calibri" w:eastAsia="Calibri" w:hAnsi="Calibri" w:cs="Arial"/>
          <w:color w:val="000000"/>
          <w:sz w:val="24"/>
          <w:szCs w:val="24"/>
        </w:rPr>
        <w:t>ed</w:t>
      </w:r>
      <w:proofErr w:type="spellEnd"/>
      <w:r w:rsidRPr="00B16134">
        <w:rPr>
          <w:rFonts w:ascii="Calibri" w:eastAsia="Calibri" w:hAnsi="Calibri" w:cs="Arial"/>
          <w:color w:val="000000"/>
          <w:sz w:val="24"/>
          <w:szCs w:val="24"/>
        </w:rPr>
        <w:t xml:space="preserve">), </w:t>
      </w:r>
      <w:r w:rsidRPr="00B16134">
        <w:rPr>
          <w:rFonts w:ascii="Calibri" w:eastAsia="Calibri" w:hAnsi="Calibri" w:cs="Arial"/>
          <w:i/>
          <w:iCs/>
          <w:color w:val="000000"/>
          <w:sz w:val="24"/>
          <w:szCs w:val="24"/>
        </w:rPr>
        <w:t xml:space="preserve">Reframing Self-Regulation in European Private Law </w:t>
      </w:r>
      <w:r w:rsidRPr="00B16134">
        <w:rPr>
          <w:rFonts w:ascii="Calibri" w:eastAsia="Calibri" w:hAnsi="Calibri" w:cs="Arial"/>
          <w:color w:val="000000"/>
          <w:sz w:val="24"/>
          <w:szCs w:val="24"/>
        </w:rPr>
        <w:t xml:space="preserve">(Kluwer Law 2006)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color w:val="000000"/>
          <w:sz w:val="24"/>
          <w:szCs w:val="24"/>
        </w:rPr>
        <w:t>Raz</w:t>
      </w:r>
      <w:proofErr w:type="spellEnd"/>
      <w:r w:rsidRPr="00B16134">
        <w:rPr>
          <w:rFonts w:ascii="Calibri" w:eastAsia="Calibri" w:hAnsi="Calibri" w:cs="Arial"/>
          <w:color w:val="000000"/>
          <w:sz w:val="24"/>
          <w:szCs w:val="24"/>
        </w:rPr>
        <w:t xml:space="preserve"> J, ‘On the Authority and Interpretation of Constitutions: Some Preliminaries’, in L Alexander (</w:t>
      </w:r>
      <w:proofErr w:type="spellStart"/>
      <w:proofErr w:type="gramStart"/>
      <w:r w:rsidRPr="00B16134">
        <w:rPr>
          <w:rFonts w:ascii="Calibri" w:eastAsia="Calibri" w:hAnsi="Calibri" w:cs="Arial"/>
          <w:color w:val="000000"/>
          <w:sz w:val="24"/>
          <w:szCs w:val="24"/>
        </w:rPr>
        <w:t>ed</w:t>
      </w:r>
      <w:proofErr w:type="spellEnd"/>
      <w:proofErr w:type="gramEnd"/>
      <w:r w:rsidRPr="00B16134">
        <w:rPr>
          <w:rFonts w:ascii="Calibri" w:eastAsia="Calibri" w:hAnsi="Calibri" w:cs="Arial"/>
          <w:color w:val="000000"/>
          <w:sz w:val="24"/>
          <w:szCs w:val="24"/>
        </w:rPr>
        <w:t xml:space="preserve">), </w:t>
      </w:r>
      <w:r w:rsidRPr="00B16134">
        <w:rPr>
          <w:rFonts w:ascii="Calibri" w:eastAsia="Calibri" w:hAnsi="Calibri" w:cs="Arial"/>
          <w:i/>
          <w:iCs/>
          <w:color w:val="000000"/>
          <w:sz w:val="24"/>
          <w:szCs w:val="24"/>
        </w:rPr>
        <w:t xml:space="preserve">Constitutionalism: Philosophical Foundations </w:t>
      </w:r>
      <w:r w:rsidRPr="00B16134">
        <w:rPr>
          <w:rFonts w:ascii="Calibri" w:eastAsia="Calibri" w:hAnsi="Calibri" w:cs="Arial"/>
          <w:color w:val="000000"/>
          <w:sz w:val="24"/>
          <w:szCs w:val="24"/>
        </w:rPr>
        <w:t xml:space="preserve">(Cambridge University Press 1998) </w:t>
      </w:r>
      <w:proofErr w:type="spellStart"/>
      <w:r w:rsidRPr="00B16134">
        <w:rPr>
          <w:rFonts w:ascii="Calibri" w:eastAsia="Calibri" w:hAnsi="Calibri" w:cs="Arial"/>
          <w:color w:val="000000"/>
          <w:sz w:val="24"/>
          <w:szCs w:val="24"/>
        </w:rPr>
        <w:t>Smismans</w:t>
      </w:r>
      <w:proofErr w:type="spellEnd"/>
      <w:r w:rsidRPr="00B16134">
        <w:rPr>
          <w:rFonts w:ascii="Calibri" w:eastAsia="Calibri" w:hAnsi="Calibri" w:cs="Arial"/>
          <w:color w:val="000000"/>
          <w:sz w:val="24"/>
          <w:szCs w:val="24"/>
        </w:rPr>
        <w:t xml:space="preserve"> S (</w:t>
      </w:r>
      <w:proofErr w:type="spellStart"/>
      <w:r w:rsidRPr="00B16134">
        <w:rPr>
          <w:rFonts w:ascii="Calibri" w:eastAsia="Calibri" w:hAnsi="Calibri" w:cs="Arial"/>
          <w:color w:val="000000"/>
          <w:sz w:val="24"/>
          <w:szCs w:val="24"/>
        </w:rPr>
        <w:t>ed</w:t>
      </w:r>
      <w:proofErr w:type="spellEnd"/>
      <w:r w:rsidRPr="00B16134">
        <w:rPr>
          <w:rFonts w:ascii="Calibri" w:eastAsia="Calibri" w:hAnsi="Calibri" w:cs="Arial"/>
          <w:color w:val="000000"/>
          <w:sz w:val="24"/>
          <w:szCs w:val="24"/>
        </w:rPr>
        <w:t xml:space="preserve">), </w:t>
      </w:r>
      <w:r w:rsidRPr="00B16134">
        <w:rPr>
          <w:rFonts w:ascii="Calibri" w:eastAsia="Calibri" w:hAnsi="Calibri" w:cs="Arial"/>
          <w:i/>
          <w:iCs/>
          <w:color w:val="000000"/>
          <w:sz w:val="24"/>
          <w:szCs w:val="24"/>
        </w:rPr>
        <w:t xml:space="preserve">Civil Society and Legitimate European Governance </w:t>
      </w:r>
      <w:r w:rsidRPr="00B16134">
        <w:rPr>
          <w:rFonts w:ascii="Calibri" w:eastAsia="Calibri" w:hAnsi="Calibri" w:cs="Arial"/>
          <w:color w:val="000000"/>
          <w:sz w:val="24"/>
          <w:szCs w:val="24"/>
        </w:rPr>
        <w:t xml:space="preserve">(Edward Elgar 2006)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Stevens R, ‘Non-Delegable Duties and Vicarious Liability’ in JW </w:t>
      </w:r>
      <w:proofErr w:type="spellStart"/>
      <w:r w:rsidRPr="00B16134">
        <w:rPr>
          <w:rFonts w:ascii="Calibri" w:eastAsia="Calibri" w:hAnsi="Calibri" w:cs="Arial"/>
          <w:color w:val="000000"/>
          <w:sz w:val="24"/>
          <w:szCs w:val="24"/>
        </w:rPr>
        <w:t>Neyers</w:t>
      </w:r>
      <w:proofErr w:type="spellEnd"/>
      <w:r w:rsidRPr="00B16134">
        <w:rPr>
          <w:rFonts w:ascii="Calibri" w:eastAsia="Calibri" w:hAnsi="Calibri" w:cs="Arial"/>
          <w:color w:val="000000"/>
          <w:sz w:val="24"/>
          <w:szCs w:val="24"/>
        </w:rPr>
        <w:t xml:space="preserve">, S </w:t>
      </w:r>
      <w:proofErr w:type="spellStart"/>
      <w:r w:rsidRPr="00B16134">
        <w:rPr>
          <w:rFonts w:ascii="Calibri" w:eastAsia="Calibri" w:hAnsi="Calibri" w:cs="Arial"/>
          <w:color w:val="000000"/>
          <w:sz w:val="24"/>
          <w:szCs w:val="24"/>
        </w:rPr>
        <w:t>Pitel</w:t>
      </w:r>
      <w:proofErr w:type="spellEnd"/>
      <w:r w:rsidRPr="00B16134">
        <w:rPr>
          <w:rFonts w:ascii="Calibri" w:eastAsia="Calibri" w:hAnsi="Calibri" w:cs="Arial"/>
          <w:color w:val="000000"/>
          <w:sz w:val="24"/>
          <w:szCs w:val="24"/>
        </w:rPr>
        <w:t>, and E Chamberlain (</w:t>
      </w:r>
      <w:proofErr w:type="spellStart"/>
      <w:r w:rsidRPr="00B16134">
        <w:rPr>
          <w:rFonts w:ascii="Calibri" w:eastAsia="Calibri" w:hAnsi="Calibri" w:cs="Arial"/>
          <w:color w:val="000000"/>
          <w:sz w:val="24"/>
          <w:szCs w:val="24"/>
        </w:rPr>
        <w:t>eds</w:t>
      </w:r>
      <w:proofErr w:type="spellEnd"/>
      <w:r w:rsidRPr="00B16134">
        <w:rPr>
          <w:rFonts w:ascii="Calibri" w:eastAsia="Calibri" w:hAnsi="Calibri" w:cs="Arial"/>
          <w:color w:val="000000"/>
          <w:sz w:val="24"/>
          <w:szCs w:val="24"/>
        </w:rPr>
        <w:t xml:space="preserve">), </w:t>
      </w:r>
      <w:r w:rsidRPr="00B16134">
        <w:rPr>
          <w:rFonts w:ascii="Calibri" w:eastAsia="Calibri" w:hAnsi="Calibri" w:cs="Arial"/>
          <w:i/>
          <w:iCs/>
          <w:color w:val="000000"/>
          <w:sz w:val="24"/>
          <w:szCs w:val="24"/>
        </w:rPr>
        <w:t xml:space="preserve">Emerging Issues in Tort Law </w:t>
      </w:r>
      <w:r w:rsidRPr="00B16134">
        <w:rPr>
          <w:rFonts w:ascii="Calibri" w:eastAsia="Calibri" w:hAnsi="Calibri" w:cs="Arial"/>
          <w:color w:val="000000"/>
          <w:sz w:val="24"/>
          <w:szCs w:val="24"/>
        </w:rPr>
        <w:t xml:space="preserve">(Hart 2007)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color w:val="000000"/>
          <w:sz w:val="24"/>
          <w:szCs w:val="24"/>
        </w:rPr>
        <w:t>Waluchow</w:t>
      </w:r>
      <w:proofErr w:type="spellEnd"/>
      <w:r w:rsidRPr="00B16134">
        <w:rPr>
          <w:rFonts w:ascii="Calibri" w:eastAsia="Calibri" w:hAnsi="Calibri" w:cs="Arial"/>
          <w:color w:val="000000"/>
          <w:sz w:val="24"/>
          <w:szCs w:val="24"/>
        </w:rPr>
        <w:t xml:space="preserve"> W, ‘Constitutionalism’, </w:t>
      </w:r>
      <w:r w:rsidRPr="00B16134">
        <w:rPr>
          <w:rFonts w:ascii="Calibri" w:eastAsia="Calibri" w:hAnsi="Calibri" w:cs="Arial"/>
          <w:i/>
          <w:iCs/>
          <w:color w:val="000000"/>
          <w:sz w:val="24"/>
          <w:szCs w:val="24"/>
        </w:rPr>
        <w:t xml:space="preserve">Stanford </w:t>
      </w:r>
      <w:proofErr w:type="spellStart"/>
      <w:r w:rsidRPr="00B16134">
        <w:rPr>
          <w:rFonts w:ascii="Calibri" w:eastAsia="Calibri" w:hAnsi="Calibri" w:cs="Arial"/>
          <w:i/>
          <w:iCs/>
          <w:color w:val="000000"/>
          <w:sz w:val="24"/>
          <w:szCs w:val="24"/>
        </w:rPr>
        <w:t>Encyclopedia</w:t>
      </w:r>
      <w:proofErr w:type="spellEnd"/>
      <w:r w:rsidRPr="00B16134">
        <w:rPr>
          <w:rFonts w:ascii="Calibri" w:eastAsia="Calibri" w:hAnsi="Calibri" w:cs="Arial"/>
          <w:i/>
          <w:iCs/>
          <w:color w:val="000000"/>
          <w:sz w:val="24"/>
          <w:szCs w:val="24"/>
        </w:rPr>
        <w:t xml:space="preserve"> of Philosophy (revised 20 February2007) &lt;</w:t>
      </w:r>
      <w:r w:rsidRPr="00B16134">
        <w:rPr>
          <w:rFonts w:ascii="Calibri" w:eastAsia="Calibri" w:hAnsi="Calibri" w:cs="Arial"/>
          <w:color w:val="000000"/>
          <w:sz w:val="24"/>
          <w:szCs w:val="24"/>
        </w:rPr>
        <w:t>http://plato.stanford.edu/entries/constitutionalism/ &gt; accessed 28 August 2011</w:t>
      </w:r>
    </w:p>
    <w:p w:rsidR="00B16134" w:rsidRPr="00B16134" w:rsidRDefault="00B16134" w:rsidP="00B16134">
      <w:pPr>
        <w:autoSpaceDE w:val="0"/>
        <w:autoSpaceDN w:val="0"/>
        <w:adjustRightInd w:val="0"/>
        <w:spacing w:after="0" w:line="240" w:lineRule="auto"/>
        <w:rPr>
          <w:rFonts w:ascii="Calibri" w:eastAsia="Calibri" w:hAnsi="Calibri" w:cs="Arial"/>
          <w:b/>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b/>
          <w:color w:val="000000"/>
          <w:sz w:val="24"/>
          <w:szCs w:val="24"/>
        </w:rPr>
      </w:pPr>
      <w:r w:rsidRPr="00B16134">
        <w:rPr>
          <w:rFonts w:ascii="Calibri" w:eastAsia="Calibri" w:hAnsi="Calibri" w:cs="Arial"/>
          <w:b/>
          <w:color w:val="000000"/>
          <w:sz w:val="24"/>
          <w:szCs w:val="24"/>
        </w:rPr>
        <w:t>Journals</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Benjamin J, ‘The Narratives of Financial Law’ (2010) 30 OJLS 747</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Curtin D, ‘</w:t>
      </w:r>
      <w:proofErr w:type="gramStart"/>
      <w:r w:rsidRPr="00B16134">
        <w:rPr>
          <w:rFonts w:ascii="Calibri" w:eastAsia="Calibri" w:hAnsi="Calibri" w:cs="Arial"/>
          <w:color w:val="000000"/>
          <w:sz w:val="24"/>
          <w:szCs w:val="24"/>
        </w:rPr>
        <w:t>The</w:t>
      </w:r>
      <w:proofErr w:type="gramEnd"/>
      <w:r w:rsidRPr="00B16134">
        <w:rPr>
          <w:rFonts w:ascii="Calibri" w:eastAsia="Calibri" w:hAnsi="Calibri" w:cs="Arial"/>
          <w:color w:val="000000"/>
          <w:sz w:val="24"/>
          <w:szCs w:val="24"/>
        </w:rPr>
        <w:t xml:space="preserve"> Constitutional Structure of the Union: A Europe of Bits and Pieces’ (1993) 30(1) </w:t>
      </w:r>
      <w:proofErr w:type="spellStart"/>
      <w:r w:rsidRPr="00B16134">
        <w:rPr>
          <w:rFonts w:ascii="Calibri" w:eastAsia="Calibri" w:hAnsi="Calibri" w:cs="Arial"/>
          <w:color w:val="000000"/>
          <w:sz w:val="24"/>
          <w:szCs w:val="24"/>
        </w:rPr>
        <w:t>Comm</w:t>
      </w:r>
      <w:proofErr w:type="spellEnd"/>
      <w:r w:rsidRPr="00B16134">
        <w:rPr>
          <w:rFonts w:ascii="Calibri" w:eastAsia="Calibri" w:hAnsi="Calibri" w:cs="Arial"/>
          <w:color w:val="000000"/>
          <w:sz w:val="24"/>
          <w:szCs w:val="24"/>
        </w:rPr>
        <w:t xml:space="preserve"> </w:t>
      </w:r>
      <w:proofErr w:type="spellStart"/>
      <w:r w:rsidRPr="00B16134">
        <w:rPr>
          <w:rFonts w:ascii="Calibri" w:eastAsia="Calibri" w:hAnsi="Calibri" w:cs="Arial"/>
          <w:color w:val="000000"/>
          <w:sz w:val="24"/>
          <w:szCs w:val="24"/>
        </w:rPr>
        <w:t>Mkt</w:t>
      </w:r>
      <w:proofErr w:type="spellEnd"/>
      <w:r w:rsidRPr="00B16134">
        <w:rPr>
          <w:rFonts w:ascii="Calibri" w:eastAsia="Calibri" w:hAnsi="Calibri" w:cs="Arial"/>
          <w:color w:val="000000"/>
          <w:sz w:val="24"/>
          <w:szCs w:val="24"/>
        </w:rPr>
        <w:t xml:space="preserve"> Rev 17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Dewar J, ‘The Normal Chaos of Family Law’ (1998) 61 MLR 467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Ellison G, A Barker and T </w:t>
      </w:r>
      <w:proofErr w:type="spellStart"/>
      <w:r w:rsidRPr="00B16134">
        <w:rPr>
          <w:rFonts w:ascii="Calibri" w:eastAsia="Calibri" w:hAnsi="Calibri" w:cs="Arial"/>
          <w:color w:val="000000"/>
          <w:sz w:val="24"/>
          <w:szCs w:val="24"/>
        </w:rPr>
        <w:t>Kulasuriya</w:t>
      </w:r>
      <w:proofErr w:type="spellEnd"/>
      <w:r w:rsidRPr="00B16134">
        <w:rPr>
          <w:rFonts w:ascii="Calibri" w:eastAsia="Calibri" w:hAnsi="Calibri" w:cs="Arial"/>
          <w:color w:val="000000"/>
          <w:sz w:val="24"/>
          <w:szCs w:val="24"/>
        </w:rPr>
        <w:t xml:space="preserve">, ‘Work and Care: A Study of Modern Parents’ (2009) </w:t>
      </w:r>
      <w:r w:rsidRPr="00B16134">
        <w:rPr>
          <w:rFonts w:ascii="Calibri" w:eastAsia="Calibri" w:hAnsi="Calibri" w:cs="Arial"/>
          <w:i/>
          <w:iCs/>
          <w:color w:val="000000"/>
          <w:sz w:val="24"/>
          <w:szCs w:val="24"/>
        </w:rPr>
        <w:t xml:space="preserve">15 </w:t>
      </w:r>
      <w:r w:rsidRPr="00B16134">
        <w:rPr>
          <w:rFonts w:ascii="Calibri" w:eastAsia="Calibri" w:hAnsi="Calibri" w:cs="Arial"/>
          <w:color w:val="000000"/>
          <w:sz w:val="24"/>
          <w:szCs w:val="24"/>
        </w:rPr>
        <w:t xml:space="preserve">EHRC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Feldman D, ‘None, One or Several: Perspectives on the UK’s Constitution(s)’ [2005] 64 CLJ 329-51 </w:t>
      </w:r>
    </w:p>
    <w:p w:rsidR="00B16134" w:rsidRPr="00B16134" w:rsidRDefault="00B16134" w:rsidP="00B16134">
      <w:pPr>
        <w:autoSpaceDE w:val="0"/>
        <w:autoSpaceDN w:val="0"/>
        <w:adjustRightInd w:val="0"/>
        <w:spacing w:after="0" w:line="240" w:lineRule="auto"/>
        <w:rPr>
          <w:rFonts w:ascii="Calibri" w:eastAsia="Calibri" w:hAnsi="Calibri" w:cs="Arial"/>
          <w:color w:val="FF0000"/>
          <w:sz w:val="24"/>
          <w:szCs w:val="24"/>
        </w:rPr>
      </w:pPr>
      <w:proofErr w:type="spellStart"/>
      <w:r w:rsidRPr="00B16134">
        <w:rPr>
          <w:rFonts w:ascii="Calibri" w:eastAsia="Calibri" w:hAnsi="Calibri" w:cs="Arial"/>
          <w:color w:val="000000"/>
          <w:sz w:val="24"/>
          <w:szCs w:val="24"/>
        </w:rPr>
        <w:t>Hannum</w:t>
      </w:r>
      <w:proofErr w:type="spellEnd"/>
      <w:r w:rsidRPr="00B16134">
        <w:rPr>
          <w:rFonts w:ascii="Calibri" w:eastAsia="Calibri" w:hAnsi="Calibri" w:cs="Arial"/>
          <w:color w:val="000000"/>
          <w:sz w:val="24"/>
          <w:szCs w:val="24"/>
        </w:rPr>
        <w:t xml:space="preserve"> H, ‘</w:t>
      </w:r>
      <w:proofErr w:type="gramStart"/>
      <w:r w:rsidRPr="00B16134">
        <w:rPr>
          <w:rFonts w:ascii="Calibri" w:eastAsia="Calibri" w:hAnsi="Calibri" w:cs="Arial"/>
          <w:color w:val="000000"/>
          <w:sz w:val="24"/>
          <w:szCs w:val="24"/>
        </w:rPr>
        <w:t>The</w:t>
      </w:r>
      <w:proofErr w:type="gramEnd"/>
      <w:r w:rsidRPr="00B16134">
        <w:rPr>
          <w:rFonts w:ascii="Calibri" w:eastAsia="Calibri" w:hAnsi="Calibri" w:cs="Arial"/>
          <w:color w:val="000000"/>
          <w:sz w:val="24"/>
          <w:szCs w:val="24"/>
        </w:rPr>
        <w:t xml:space="preserve"> Advisory Opinion on Kosovo: An Opportunity Lost, or a Poisoned Chalice Refused?’ (2011) 24 LJIL</w:t>
      </w:r>
      <w:r w:rsidRPr="00B16134">
        <w:rPr>
          <w:rFonts w:ascii="Calibri" w:eastAsia="Calibri" w:hAnsi="Calibri" w:cs="Arial"/>
          <w:color w:val="FF0000"/>
          <w:sz w:val="24"/>
          <w:szCs w:val="24"/>
        </w:rPr>
        <w:t xml:space="preserve">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proofErr w:type="spellStart"/>
      <w:r w:rsidRPr="00B16134">
        <w:rPr>
          <w:rFonts w:ascii="Calibri" w:eastAsia="Calibri" w:hAnsi="Calibri" w:cs="Arial"/>
          <w:color w:val="000000"/>
          <w:sz w:val="24"/>
          <w:szCs w:val="24"/>
        </w:rPr>
        <w:t>Jaffey</w:t>
      </w:r>
      <w:proofErr w:type="spellEnd"/>
      <w:r w:rsidRPr="00B16134">
        <w:rPr>
          <w:rFonts w:ascii="Calibri" w:eastAsia="Calibri" w:hAnsi="Calibri" w:cs="Arial"/>
          <w:color w:val="000000"/>
          <w:sz w:val="24"/>
          <w:szCs w:val="24"/>
        </w:rPr>
        <w:t xml:space="preserve"> P, ‘Liabilities in Private Law’ (2008) 14 Legal Theory </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Sherwin E, ‘Constructive Trusts in Bankruptcy’ [1989] U of Ill LR 297 </w:t>
      </w:r>
    </w:p>
    <w:p w:rsidR="00B16134" w:rsidRPr="00B16134" w:rsidRDefault="00B16134" w:rsidP="00B16134">
      <w:pPr>
        <w:autoSpaceDE w:val="0"/>
        <w:autoSpaceDN w:val="0"/>
        <w:adjustRightInd w:val="0"/>
        <w:spacing w:after="0" w:line="240" w:lineRule="auto"/>
        <w:rPr>
          <w:rFonts w:ascii="Calibri" w:eastAsia="Calibri" w:hAnsi="Calibri" w:cs="Arial"/>
          <w:b/>
          <w:color w:val="000000"/>
          <w:sz w:val="24"/>
          <w:szCs w:val="24"/>
        </w:rPr>
      </w:pPr>
    </w:p>
    <w:p w:rsidR="00B16134" w:rsidRPr="00B16134" w:rsidRDefault="00B16134" w:rsidP="00B16134">
      <w:pPr>
        <w:autoSpaceDE w:val="0"/>
        <w:autoSpaceDN w:val="0"/>
        <w:adjustRightInd w:val="0"/>
        <w:spacing w:after="0" w:line="240" w:lineRule="auto"/>
        <w:rPr>
          <w:rFonts w:ascii="Calibri" w:eastAsia="Calibri" w:hAnsi="Calibri" w:cs="Arial"/>
          <w:b/>
          <w:color w:val="000000"/>
          <w:sz w:val="24"/>
          <w:szCs w:val="24"/>
        </w:rPr>
      </w:pPr>
      <w:r w:rsidRPr="00B16134">
        <w:rPr>
          <w:rFonts w:ascii="Calibri" w:eastAsia="Calibri" w:hAnsi="Calibri" w:cs="Arial"/>
          <w:b/>
          <w:color w:val="000000"/>
          <w:sz w:val="24"/>
          <w:szCs w:val="24"/>
        </w:rPr>
        <w:t>Web Resources</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4"/>
          <w:szCs w:val="24"/>
        </w:rPr>
      </w:pPr>
      <w:r w:rsidRPr="00B16134">
        <w:rPr>
          <w:rFonts w:ascii="Calibri" w:eastAsia="Calibri" w:hAnsi="Calibri" w:cs="Arial"/>
          <w:color w:val="000000"/>
          <w:sz w:val="24"/>
          <w:szCs w:val="24"/>
        </w:rPr>
        <w:t xml:space="preserve">Boyd </w:t>
      </w:r>
      <w:proofErr w:type="spellStart"/>
      <w:proofErr w:type="gramStart"/>
      <w:r w:rsidRPr="00B16134">
        <w:rPr>
          <w:rFonts w:ascii="Calibri" w:eastAsia="Calibri" w:hAnsi="Calibri" w:cs="Arial"/>
          <w:color w:val="000000"/>
          <w:sz w:val="24"/>
          <w:szCs w:val="24"/>
        </w:rPr>
        <w:t>Rt</w:t>
      </w:r>
      <w:proofErr w:type="spellEnd"/>
      <w:proofErr w:type="gramEnd"/>
      <w:r w:rsidRPr="00B16134">
        <w:rPr>
          <w:rFonts w:ascii="Calibri" w:eastAsia="Calibri" w:hAnsi="Calibri" w:cs="Arial"/>
          <w:color w:val="000000"/>
          <w:sz w:val="24"/>
          <w:szCs w:val="24"/>
        </w:rPr>
        <w:t xml:space="preserve"> Hon C, ‘Partners in Crime? New Relationships in the Criminal Justice System’, the James Smart Lecture delivered on 29 November 2005 &lt;http://www.scotland.gov.uk/Publications/2005/11/29132823/28243&gt; accessed 28 August 2011 </w:t>
      </w:r>
    </w:p>
    <w:p w:rsidR="00B16134" w:rsidRPr="00B16134" w:rsidRDefault="00B16134" w:rsidP="00B16134">
      <w:pPr>
        <w:autoSpaceDE w:val="0"/>
        <w:autoSpaceDN w:val="0"/>
        <w:adjustRightInd w:val="0"/>
        <w:spacing w:after="0" w:line="240" w:lineRule="auto"/>
        <w:rPr>
          <w:rFonts w:ascii="Arial" w:eastAsia="Calibri" w:hAnsi="Arial" w:cs="Arial"/>
          <w:color w:val="000000"/>
          <w:sz w:val="24"/>
          <w:szCs w:val="24"/>
        </w:rPr>
      </w:pPr>
    </w:p>
    <w:p w:rsidR="00B16134" w:rsidRPr="00B16134" w:rsidRDefault="00B16134" w:rsidP="00B16134">
      <w:pPr>
        <w:autoSpaceDE w:val="0"/>
        <w:autoSpaceDN w:val="0"/>
        <w:adjustRightInd w:val="0"/>
        <w:spacing w:after="0" w:line="240" w:lineRule="auto"/>
        <w:jc w:val="center"/>
        <w:rPr>
          <w:rFonts w:ascii="Calibri" w:eastAsia="Calibri" w:hAnsi="Calibri" w:cs="Arial"/>
          <w:color w:val="000000"/>
          <w:sz w:val="24"/>
          <w:szCs w:val="24"/>
        </w:rPr>
      </w:pPr>
      <w:r w:rsidRPr="00B16134">
        <w:rPr>
          <w:rFonts w:ascii="Calibri" w:eastAsia="Calibri" w:hAnsi="Calibri" w:cs="Arial"/>
          <w:b/>
          <w:bCs/>
          <w:color w:val="000000"/>
          <w:sz w:val="24"/>
          <w:szCs w:val="24"/>
        </w:rPr>
        <w:t>Other examples</w:t>
      </w:r>
    </w:p>
    <w:p w:rsidR="00B16134" w:rsidRPr="00B16134" w:rsidRDefault="00B16134" w:rsidP="00B16134">
      <w:pPr>
        <w:autoSpaceDE w:val="0"/>
        <w:autoSpaceDN w:val="0"/>
        <w:adjustRightInd w:val="0"/>
        <w:spacing w:after="0" w:line="240" w:lineRule="auto"/>
        <w:rPr>
          <w:rFonts w:ascii="Calibri" w:eastAsia="Calibri" w:hAnsi="Calibri" w:cs="Arial"/>
          <w:color w:val="000000"/>
          <w:sz w:val="20"/>
          <w:szCs w:val="20"/>
        </w:rPr>
      </w:pPr>
      <w:r w:rsidRPr="00B16134">
        <w:rPr>
          <w:rFonts w:ascii="Calibri" w:eastAsia="Calibri" w:hAnsi="Calibri" w:cs="Arial"/>
          <w:color w:val="000000"/>
          <w:sz w:val="20"/>
          <w:szCs w:val="20"/>
        </w:rPr>
        <w:t>This is an example of what might be expected here at University of Portsmouth using OSCOLA Referencing with pinpointed footnotes. This has been adapted to provide a format suitable for shorter assignments and undergraduate dissertations.</w:t>
      </w:r>
    </w:p>
    <w:p w:rsidR="00B16134" w:rsidRPr="00B16134" w:rsidRDefault="00B16134" w:rsidP="00B16134">
      <w:pPr>
        <w:autoSpaceDE w:val="0"/>
        <w:autoSpaceDN w:val="0"/>
        <w:adjustRightInd w:val="0"/>
        <w:spacing w:after="0" w:line="240" w:lineRule="auto"/>
        <w:rPr>
          <w:rFonts w:ascii="Arial" w:eastAsia="Calibri" w:hAnsi="Arial" w:cs="Arial"/>
          <w:color w:val="000000"/>
          <w:sz w:val="20"/>
          <w:szCs w:val="20"/>
        </w:rPr>
      </w:pPr>
      <w:r w:rsidRPr="00B16134">
        <w:rPr>
          <w:rFonts w:ascii="Calibri" w:eastAsia="Calibri" w:hAnsi="Calibri" w:cs="Arial"/>
          <w:color w:val="000000"/>
          <w:sz w:val="20"/>
          <w:szCs w:val="20"/>
        </w:rPr>
        <w:t xml:space="preserve">You may be aware that a number of Oxford University publications use the OSCOLA format e.g.: </w:t>
      </w:r>
      <w:r w:rsidRPr="00B16134">
        <w:rPr>
          <w:rFonts w:ascii="Calibri" w:eastAsia="Calibri" w:hAnsi="Calibri" w:cs="Arial"/>
          <w:i/>
          <w:iCs/>
          <w:color w:val="000000"/>
          <w:sz w:val="20"/>
          <w:szCs w:val="20"/>
        </w:rPr>
        <w:t>Oxford Journal of Legal Studies</w:t>
      </w:r>
      <w:r w:rsidRPr="00B16134">
        <w:rPr>
          <w:rFonts w:ascii="Calibri" w:eastAsia="Calibri" w:hAnsi="Calibri" w:cs="Arial"/>
          <w:color w:val="000000"/>
          <w:sz w:val="20"/>
          <w:szCs w:val="20"/>
        </w:rPr>
        <w:t xml:space="preserve">, </w:t>
      </w:r>
      <w:r w:rsidRPr="00B16134">
        <w:rPr>
          <w:rFonts w:ascii="Calibri" w:eastAsia="Calibri" w:hAnsi="Calibri" w:cs="Arial"/>
          <w:i/>
          <w:iCs/>
          <w:color w:val="000000"/>
          <w:sz w:val="20"/>
          <w:szCs w:val="20"/>
        </w:rPr>
        <w:t xml:space="preserve">Oxford University Commonwealth Law Journal </w:t>
      </w:r>
      <w:r w:rsidRPr="00B16134">
        <w:rPr>
          <w:rFonts w:ascii="Calibri" w:eastAsia="Calibri" w:hAnsi="Calibri" w:cs="Arial"/>
          <w:color w:val="000000"/>
          <w:sz w:val="20"/>
          <w:szCs w:val="20"/>
        </w:rPr>
        <w:t xml:space="preserve">and </w:t>
      </w:r>
      <w:r w:rsidRPr="00B16134">
        <w:rPr>
          <w:rFonts w:ascii="Calibri" w:eastAsia="Calibri" w:hAnsi="Calibri" w:cs="Arial"/>
          <w:i/>
          <w:iCs/>
          <w:color w:val="000000"/>
          <w:sz w:val="20"/>
          <w:szCs w:val="20"/>
        </w:rPr>
        <w:t>Current Legal Problems</w:t>
      </w:r>
      <w:r w:rsidRPr="00B16134">
        <w:rPr>
          <w:rFonts w:ascii="Calibri" w:eastAsia="Calibri" w:hAnsi="Calibri" w:cs="Arial"/>
          <w:color w:val="000000"/>
          <w:sz w:val="20"/>
          <w:szCs w:val="20"/>
        </w:rPr>
        <w:t>. However if you are using them to find examples of particular formats, remember that the 4th edition of OSCOLA was not introduced until 2011 and that its advice on the layout of bibliographies is explicitly a summary of what is useful for longer pieces of work such as a book or thesis. You can find the specific guidance at Paragraph 1.7 on pages 11-12 and advice on Tables of Cases and Legislation in paragraph 1.6.2-3 pages 10-11. This has been adapted to provide a format suitable for shorter assignments and undergraduate dissertations.</w:t>
      </w:r>
    </w:p>
    <w:p w:rsidR="008C6C1E" w:rsidRDefault="008C6C1E">
      <w:bookmarkStart w:id="0" w:name="_GoBack"/>
      <w:bookmarkEnd w:id="0"/>
    </w:p>
    <w:sectPr w:rsidR="008C6C1E" w:rsidSect="003A0703">
      <w:headerReference w:type="default" r:id="rId5"/>
      <w:footerReference w:type="default" r:id="rI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07" w:rsidRDefault="00B16134">
    <w:pPr>
      <w:pStyle w:val="Footer"/>
    </w:pPr>
    <w:r>
      <w:t>LIJ 2/14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07" w:rsidRPr="003A0703" w:rsidRDefault="00B16134" w:rsidP="003A0703">
    <w:pPr>
      <w:pStyle w:val="Header"/>
      <w:jc w:val="center"/>
      <w:rPr>
        <w:b/>
        <w:sz w:val="24"/>
        <w:szCs w:val="24"/>
      </w:rPr>
    </w:pPr>
    <w:r w:rsidRPr="003A0703">
      <w:rPr>
        <w:b/>
        <w:sz w:val="24"/>
        <w:szCs w:val="24"/>
      </w:rPr>
      <w:t xml:space="preserve">Exemplar </w:t>
    </w:r>
    <w:r>
      <w:rPr>
        <w:b/>
        <w:sz w:val="24"/>
        <w:szCs w:val="24"/>
      </w:rPr>
      <w:t xml:space="preserve">OSCOLA </w:t>
    </w:r>
    <w:r w:rsidRPr="003A0703">
      <w:rPr>
        <w:b/>
        <w:sz w:val="24"/>
        <w:szCs w:val="24"/>
      </w:rPr>
      <w:t>Bibliography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34"/>
    <w:rsid w:val="008C6C1E"/>
    <w:rsid w:val="00B16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61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6134"/>
  </w:style>
  <w:style w:type="paragraph" w:styleId="Footer">
    <w:name w:val="footer"/>
    <w:basedOn w:val="Normal"/>
    <w:link w:val="FooterChar"/>
    <w:uiPriority w:val="99"/>
    <w:semiHidden/>
    <w:unhideWhenUsed/>
    <w:rsid w:val="00B161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6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61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6134"/>
  </w:style>
  <w:style w:type="paragraph" w:styleId="Footer">
    <w:name w:val="footer"/>
    <w:basedOn w:val="Normal"/>
    <w:link w:val="FooterChar"/>
    <w:uiPriority w:val="99"/>
    <w:semiHidden/>
    <w:unhideWhenUsed/>
    <w:rsid w:val="00B161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6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Helen Burton</cp:lastModifiedBy>
  <cp:revision>1</cp:revision>
  <dcterms:created xsi:type="dcterms:W3CDTF">2014-09-16T12:28:00Z</dcterms:created>
  <dcterms:modified xsi:type="dcterms:W3CDTF">2014-09-16T12:29:00Z</dcterms:modified>
</cp:coreProperties>
</file>